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BC4265" w14:textId="1BFEC513" w:rsidR="005223FF" w:rsidRDefault="005223FF" w:rsidP="005223FF">
      <w:pPr>
        <w:tabs>
          <w:tab w:val="center" w:pos="4536"/>
          <w:tab w:val="right" w:pos="8280"/>
          <w:tab w:val="right" w:pos="9781"/>
        </w:tabs>
        <w:ind w:right="-58"/>
        <w:rPr>
          <w:rFonts w:ascii="Arial" w:hAnsi="Arial" w:cs="Arial"/>
          <w:b/>
          <w:bCs/>
          <w:kern w:val="0"/>
          <w:sz w:val="28"/>
          <w:lang w:eastAsia="en-US"/>
        </w:rPr>
      </w:pPr>
      <w:r>
        <w:rPr>
          <w:rFonts w:ascii="Arial" w:hAnsi="Arial" w:cs="Arial"/>
          <w:b/>
          <w:bCs/>
          <w:sz w:val="28"/>
        </w:rPr>
        <w:t>3GPP TSG RAN WG1 Meeting #8</w:t>
      </w:r>
      <w:r>
        <w:rPr>
          <w:rFonts w:ascii="Arial" w:eastAsia="MS Mincho" w:hAnsi="Arial" w:cs="Arial"/>
          <w:b/>
          <w:bCs/>
          <w:sz w:val="28"/>
          <w:lang w:eastAsia="ja-JP"/>
        </w:rPr>
        <w:t>9</w:t>
      </w:r>
      <w:r>
        <w:rPr>
          <w:rFonts w:ascii="Arial" w:hAnsi="Arial" w:cs="Arial"/>
          <w:b/>
          <w:bCs/>
          <w:sz w:val="28"/>
        </w:rPr>
        <w:t xml:space="preserve">               </w:t>
      </w:r>
      <w:r>
        <w:rPr>
          <w:rFonts w:ascii="Arial" w:eastAsia="MS Mincho" w:hAnsi="Arial" w:cs="Arial"/>
          <w:b/>
          <w:bCs/>
          <w:sz w:val="28"/>
          <w:lang w:eastAsia="ja-JP"/>
        </w:rPr>
        <w:t xml:space="preserve">                             </w:t>
      </w:r>
      <w:r w:rsidR="005F42DE" w:rsidRPr="005F42DE">
        <w:rPr>
          <w:rFonts w:ascii="Arial" w:hAnsi="Arial" w:cs="Arial"/>
          <w:b/>
          <w:bCs/>
          <w:sz w:val="28"/>
        </w:rPr>
        <w:t>R1-1708751</w:t>
      </w:r>
    </w:p>
    <w:p w14:paraId="1B4C1063" w14:textId="77777777" w:rsidR="005223FF" w:rsidRDefault="005223FF" w:rsidP="005223F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Hangzhou</w:t>
      </w:r>
      <w:r>
        <w:rPr>
          <w:rFonts w:ascii="Arial" w:hAnsi="Arial" w:cs="Arial"/>
          <w:b/>
          <w:bCs/>
          <w:sz w:val="28"/>
        </w:rPr>
        <w:t xml:space="preserve">, </w:t>
      </w:r>
      <w:r>
        <w:rPr>
          <w:rFonts w:ascii="Arial" w:eastAsia="MS Mincho" w:hAnsi="Arial" w:cs="Arial"/>
          <w:b/>
          <w:bCs/>
          <w:sz w:val="28"/>
          <w:lang w:eastAsia="ja-JP"/>
        </w:rPr>
        <w:t>P.R. China</w:t>
      </w:r>
      <w:r>
        <w:rPr>
          <w:rFonts w:ascii="Arial" w:hAnsi="Arial" w:cs="Arial"/>
          <w:b/>
          <w:bCs/>
          <w:sz w:val="28"/>
        </w:rPr>
        <w:t xml:space="preserve"> </w:t>
      </w:r>
      <w:r>
        <w:rPr>
          <w:rFonts w:ascii="Arial" w:eastAsia="MS Mincho" w:hAnsi="Arial" w:cs="Arial"/>
          <w:b/>
          <w:bCs/>
          <w:sz w:val="28"/>
          <w:lang w:eastAsia="ja-JP"/>
        </w:rPr>
        <w:t xml:space="preserve">15th </w:t>
      </w:r>
      <w:r>
        <w:rPr>
          <w:rFonts w:ascii="Arial" w:hAnsi="Arial" w:cs="Arial"/>
          <w:b/>
          <w:bCs/>
          <w:sz w:val="28"/>
        </w:rPr>
        <w:t xml:space="preserve">– </w:t>
      </w:r>
      <w:r>
        <w:rPr>
          <w:rFonts w:ascii="Arial" w:eastAsia="MS Mincho" w:hAnsi="Arial" w:cs="Arial"/>
          <w:b/>
          <w:bCs/>
          <w:sz w:val="28"/>
          <w:lang w:eastAsia="ja-JP"/>
        </w:rPr>
        <w:t>19th</w:t>
      </w:r>
      <w:r>
        <w:rPr>
          <w:rFonts w:ascii="Arial" w:hAnsi="Arial" w:cs="Arial"/>
          <w:b/>
          <w:bCs/>
          <w:sz w:val="28"/>
        </w:rPr>
        <w:t xml:space="preserve"> </w:t>
      </w:r>
      <w:r>
        <w:rPr>
          <w:rFonts w:ascii="Arial" w:eastAsia="MS Mincho" w:hAnsi="Arial" w:cs="Arial"/>
          <w:b/>
          <w:bCs/>
          <w:sz w:val="28"/>
          <w:lang w:eastAsia="ja-JP"/>
        </w:rPr>
        <w:t>May</w:t>
      </w:r>
      <w:r>
        <w:rPr>
          <w:rFonts w:ascii="Arial" w:hAnsi="Arial" w:cs="Arial"/>
          <w:b/>
          <w:bCs/>
          <w:sz w:val="28"/>
        </w:rPr>
        <w:t xml:space="preserve"> 201</w:t>
      </w:r>
      <w:r>
        <w:rPr>
          <w:rFonts w:ascii="Arial" w:eastAsia="MS Mincho" w:hAnsi="Arial" w:cs="Arial"/>
          <w:b/>
          <w:bCs/>
          <w:sz w:val="28"/>
          <w:lang w:eastAsia="ja-JP"/>
        </w:rPr>
        <w:t>7</w:t>
      </w:r>
    </w:p>
    <w:p w14:paraId="2DD42AB3" w14:textId="77777777" w:rsidR="005223FF" w:rsidRPr="005223FF" w:rsidRDefault="005223FF" w:rsidP="005223FF">
      <w:pPr>
        <w:wordWrap/>
        <w:overflowPunct w:val="0"/>
        <w:adjustRightInd w:val="0"/>
        <w:textAlignment w:val="baseline"/>
        <w:rPr>
          <w:rFonts w:ascii="Times New Roman" w:eastAsia="Calibri"/>
          <w:b/>
          <w:i/>
          <w:kern w:val="0"/>
          <w:sz w:val="18"/>
          <w:szCs w:val="20"/>
          <w:lang w:eastAsia="en-US"/>
        </w:rPr>
      </w:pPr>
    </w:p>
    <w:p w14:paraId="3F76E0DB" w14:textId="23C39BE0" w:rsidR="005223FF" w:rsidRPr="005223FF"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Agenda item:</w:t>
      </w:r>
      <w:r w:rsidRPr="005223FF">
        <w:rPr>
          <w:rFonts w:ascii="Arial" w:eastAsia="Calibri" w:hAnsi="Arial" w:cs="Arial"/>
          <w:kern w:val="0"/>
          <w:sz w:val="24"/>
          <w:szCs w:val="20"/>
          <w:lang w:eastAsia="en-US"/>
        </w:rPr>
        <w:tab/>
      </w:r>
      <w:bookmarkStart w:id="0" w:name="Source"/>
      <w:bookmarkEnd w:id="0"/>
      <w:r w:rsidR="00642FAD">
        <w:rPr>
          <w:rFonts w:ascii="Arial" w:eastAsia="Calibri" w:hAnsi="Arial" w:cs="Arial"/>
          <w:kern w:val="0"/>
          <w:sz w:val="24"/>
          <w:szCs w:val="20"/>
          <w:lang w:eastAsia="en-US"/>
        </w:rPr>
        <w:t>6.1.1</w:t>
      </w:r>
      <w:bookmarkStart w:id="1" w:name="_GoBack"/>
      <w:bookmarkEnd w:id="1"/>
    </w:p>
    <w:p w14:paraId="4E9D0481" w14:textId="77777777" w:rsidR="005223FF" w:rsidRPr="005223FF"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 xml:space="preserve">Source: </w:t>
      </w:r>
      <w:r w:rsidRPr="005223FF">
        <w:rPr>
          <w:rFonts w:ascii="Arial" w:eastAsia="Calibri" w:hAnsi="Arial" w:cs="Arial"/>
          <w:b/>
          <w:kern w:val="0"/>
          <w:sz w:val="24"/>
          <w:szCs w:val="20"/>
          <w:lang w:eastAsia="en-US"/>
        </w:rPr>
        <w:tab/>
      </w:r>
      <w:r w:rsidRPr="005223FF">
        <w:rPr>
          <w:rFonts w:ascii="Arial" w:eastAsia="Calibri" w:hAnsi="Arial" w:cs="Arial"/>
          <w:kern w:val="0"/>
          <w:sz w:val="24"/>
          <w:szCs w:val="20"/>
          <w:lang w:eastAsia="en-US"/>
        </w:rPr>
        <w:t>Qualcomm Incorporated</w:t>
      </w:r>
    </w:p>
    <w:p w14:paraId="78C2A59F" w14:textId="524E4EC2" w:rsidR="005223FF" w:rsidRPr="005223FF" w:rsidRDefault="005223FF" w:rsidP="005223FF">
      <w:pPr>
        <w:widowControl/>
        <w:wordWrap/>
        <w:overflowPunct w:val="0"/>
        <w:adjustRightInd w:val="0"/>
        <w:spacing w:after="180"/>
        <w:ind w:left="1988" w:hanging="1988"/>
        <w:jc w:val="left"/>
        <w:textAlignment w:val="baseline"/>
        <w:rPr>
          <w:rFonts w:ascii="Arial" w:eastAsia="Calibri" w:hAnsi="Arial" w:cs="Arial"/>
          <w:kern w:val="0"/>
          <w:sz w:val="28"/>
          <w:lang w:eastAsia="en-US"/>
        </w:rPr>
      </w:pPr>
      <w:r w:rsidRPr="005223FF">
        <w:rPr>
          <w:rFonts w:ascii="Arial" w:eastAsia="Calibri" w:hAnsi="Arial" w:cs="Arial"/>
          <w:b/>
          <w:kern w:val="0"/>
          <w:sz w:val="24"/>
          <w:szCs w:val="20"/>
          <w:lang w:eastAsia="en-US"/>
        </w:rPr>
        <w:t>Title:</w:t>
      </w:r>
      <w:r w:rsidRPr="005223FF">
        <w:rPr>
          <w:rFonts w:ascii="Arial" w:eastAsia="Calibri" w:hAnsi="Arial" w:cs="Arial"/>
          <w:kern w:val="0"/>
          <w:sz w:val="24"/>
          <w:szCs w:val="20"/>
          <w:lang w:eastAsia="en-US"/>
        </w:rPr>
        <w:t xml:space="preserve"> </w:t>
      </w:r>
      <w:r w:rsidRPr="005223FF">
        <w:rPr>
          <w:rFonts w:ascii="Arial" w:eastAsia="Calibri" w:hAnsi="Arial" w:cs="Arial"/>
          <w:kern w:val="0"/>
          <w:sz w:val="22"/>
          <w:szCs w:val="20"/>
          <w:lang w:eastAsia="en-US"/>
        </w:rPr>
        <w:tab/>
      </w:r>
      <w:r w:rsidR="00055462">
        <w:rPr>
          <w:rFonts w:ascii="Arial" w:eastAsia="Calibri" w:hAnsi="Arial" w:cs="Arial"/>
          <w:kern w:val="0"/>
          <w:sz w:val="24"/>
          <w:szCs w:val="20"/>
          <w:lang w:eastAsia="en-US"/>
        </w:rPr>
        <w:t>Discussion on modulation scheme selection for 256QAM</w:t>
      </w:r>
    </w:p>
    <w:p w14:paraId="5E58C004" w14:textId="77777777" w:rsidR="005223FF" w:rsidRPr="005223FF" w:rsidRDefault="005223FF" w:rsidP="005223FF">
      <w:pPr>
        <w:widowControl/>
        <w:wordWrap/>
        <w:overflowPunct w:val="0"/>
        <w:adjustRightInd w:val="0"/>
        <w:spacing w:after="180"/>
        <w:ind w:left="1988" w:hanging="1988"/>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Document for:</w:t>
      </w:r>
      <w:r w:rsidRPr="005223FF">
        <w:rPr>
          <w:rFonts w:ascii="Arial" w:eastAsia="Calibri" w:hAnsi="Arial" w:cs="Arial"/>
          <w:kern w:val="0"/>
          <w:sz w:val="24"/>
          <w:szCs w:val="20"/>
          <w:lang w:eastAsia="en-US"/>
        </w:rPr>
        <w:tab/>
      </w:r>
      <w:bookmarkStart w:id="2" w:name="DocumentFor"/>
      <w:bookmarkEnd w:id="2"/>
      <w:r w:rsidRPr="005223FF">
        <w:rPr>
          <w:rFonts w:ascii="Arial" w:eastAsia="Calibri" w:hAnsi="Arial" w:cs="Arial"/>
          <w:kern w:val="0"/>
          <w:sz w:val="24"/>
          <w:szCs w:val="20"/>
          <w:lang w:eastAsia="en-US"/>
        </w:rPr>
        <w:t>Discussion/Decision</w:t>
      </w:r>
    </w:p>
    <w:p w14:paraId="26F4A535" w14:textId="77777777" w:rsidR="005223FF" w:rsidRDefault="005223FF" w:rsidP="005223FF"/>
    <w:p w14:paraId="11D71509" w14:textId="43E58579" w:rsidR="005223FF" w:rsidRDefault="005223FF" w:rsidP="005223FF">
      <w:pPr>
        <w:pStyle w:val="Heading1"/>
      </w:pPr>
      <w:r>
        <w:t>Introduction</w:t>
      </w:r>
    </w:p>
    <w:p w14:paraId="1291CB34" w14:textId="0FA3C882" w:rsidR="005223FF" w:rsidRPr="005223FF" w:rsidRDefault="00055462" w:rsidP="005223FF">
      <w:pPr>
        <w:rPr>
          <w:rFonts w:ascii="Times New Roman"/>
          <w:sz w:val="22"/>
          <w:szCs w:val="22"/>
        </w:rPr>
      </w:pPr>
      <w:r>
        <w:rPr>
          <w:rFonts w:ascii="Times New Roman"/>
          <w:sz w:val="22"/>
          <w:szCs w:val="22"/>
          <w:lang w:val="en-GB"/>
        </w:rPr>
        <w:t xml:space="preserve">In Rel-13, 256QAM was specified for PDSCH. As a result of its specification, a new MCS table was introduced in 36.213. </w:t>
      </w:r>
      <w:r w:rsidR="001612D8">
        <w:rPr>
          <w:rFonts w:ascii="Times New Roman"/>
          <w:sz w:val="22"/>
          <w:szCs w:val="22"/>
          <w:lang w:val="en-GB"/>
        </w:rPr>
        <w:t>In this contribution, we present some observations on the performance of different modulation schemes under different scenarios, from which we conclude that the current mechanism to select the modulation scheme (static for a given MCS value) may not lead to optimum performance in a variety of scenarios. We also find that this problem exists not only for the cases of 256QAM, but also for some legacy MCS/TBS values.</w:t>
      </w:r>
    </w:p>
    <w:p w14:paraId="447D1A13" w14:textId="77777777" w:rsidR="005223FF" w:rsidRPr="001612D8" w:rsidRDefault="005223FF" w:rsidP="005223FF">
      <w:pPr>
        <w:rPr>
          <w:rFonts w:ascii="Times New Roman"/>
          <w:sz w:val="22"/>
          <w:szCs w:val="22"/>
        </w:rPr>
      </w:pPr>
    </w:p>
    <w:p w14:paraId="40E14BF9" w14:textId="5647DE90" w:rsidR="005223FF" w:rsidRDefault="00055462" w:rsidP="005223FF">
      <w:pPr>
        <w:pStyle w:val="Heading1"/>
      </w:pPr>
      <w:r>
        <w:t>Observations on performance with different modulation schemes</w:t>
      </w:r>
    </w:p>
    <w:p w14:paraId="08A5F560" w14:textId="3D11E6D4" w:rsidR="001612D8" w:rsidRDefault="001612D8" w:rsidP="001612D8">
      <w:pPr>
        <w:pStyle w:val="LGTdoc1"/>
        <w:spacing w:beforeLines="0" w:before="120" w:after="220" w:afterAutospacing="0"/>
        <w:jc w:val="left"/>
        <w:rPr>
          <w:b w:val="0"/>
          <w:sz w:val="22"/>
          <w:szCs w:val="22"/>
        </w:rPr>
      </w:pPr>
      <w:r>
        <w:rPr>
          <w:b w:val="0"/>
          <w:sz w:val="22"/>
          <w:szCs w:val="22"/>
        </w:rPr>
        <w:t>I</w:t>
      </w:r>
      <w:r w:rsidR="0051673C">
        <w:rPr>
          <w:b w:val="0"/>
          <w:sz w:val="22"/>
          <w:szCs w:val="22"/>
        </w:rPr>
        <w:t>n Figure</w:t>
      </w:r>
      <w:r>
        <w:rPr>
          <w:b w:val="0"/>
          <w:sz w:val="22"/>
          <w:szCs w:val="22"/>
        </w:rPr>
        <w:t xml:space="preserve"> 1 we show the SNR vs BLER for </w:t>
      </w:r>
      <w:r w:rsidR="0051673C">
        <w:rPr>
          <w:b w:val="0"/>
          <w:sz w:val="22"/>
          <w:szCs w:val="22"/>
        </w:rPr>
        <w:t>64QAM and 256</w:t>
      </w:r>
      <w:r>
        <w:rPr>
          <w:b w:val="0"/>
          <w:sz w:val="22"/>
          <w:szCs w:val="22"/>
        </w:rPr>
        <w:t>QAM in the following scenario:</w:t>
      </w:r>
    </w:p>
    <w:p w14:paraId="55B43880" w14:textId="2C86DE6A" w:rsidR="001612D8" w:rsidRDefault="001612D8" w:rsidP="001612D8">
      <w:pPr>
        <w:pStyle w:val="LGTdoc1"/>
        <w:numPr>
          <w:ilvl w:val="0"/>
          <w:numId w:val="28"/>
        </w:numPr>
        <w:spacing w:beforeLines="0" w:before="120" w:after="220" w:afterAutospacing="0"/>
        <w:jc w:val="left"/>
        <w:rPr>
          <w:b w:val="0"/>
          <w:sz w:val="22"/>
          <w:szCs w:val="22"/>
        </w:rPr>
      </w:pPr>
      <w:r>
        <w:rPr>
          <w:b w:val="0"/>
          <w:sz w:val="22"/>
          <w:szCs w:val="22"/>
        </w:rPr>
        <w:t>TM4</w:t>
      </w:r>
    </w:p>
    <w:p w14:paraId="4D0F542F" w14:textId="4A3F7D23" w:rsidR="001612D8" w:rsidRDefault="001612D8" w:rsidP="001612D8">
      <w:pPr>
        <w:pStyle w:val="LGTdoc1"/>
        <w:numPr>
          <w:ilvl w:val="0"/>
          <w:numId w:val="28"/>
        </w:numPr>
        <w:spacing w:beforeLines="0" w:before="120" w:after="220" w:afterAutospacing="0"/>
        <w:jc w:val="left"/>
        <w:rPr>
          <w:b w:val="0"/>
          <w:sz w:val="22"/>
          <w:szCs w:val="22"/>
        </w:rPr>
      </w:pPr>
      <w:r>
        <w:rPr>
          <w:b w:val="0"/>
          <w:sz w:val="22"/>
          <w:szCs w:val="22"/>
        </w:rPr>
        <w:t>2T2R</w:t>
      </w:r>
    </w:p>
    <w:p w14:paraId="00B08E4C" w14:textId="232FBF01" w:rsidR="001612D8" w:rsidRDefault="001612D8" w:rsidP="001612D8">
      <w:pPr>
        <w:pStyle w:val="LGTdoc1"/>
        <w:numPr>
          <w:ilvl w:val="0"/>
          <w:numId w:val="28"/>
        </w:numPr>
        <w:spacing w:beforeLines="0" w:before="120" w:after="220" w:afterAutospacing="0"/>
        <w:jc w:val="left"/>
        <w:rPr>
          <w:b w:val="0"/>
          <w:sz w:val="22"/>
          <w:szCs w:val="22"/>
        </w:rPr>
      </w:pPr>
      <w:r>
        <w:rPr>
          <w:b w:val="0"/>
          <w:sz w:val="22"/>
          <w:szCs w:val="22"/>
        </w:rPr>
        <w:t>EPA5L</w:t>
      </w:r>
    </w:p>
    <w:p w14:paraId="79BF44A1" w14:textId="617E50BA" w:rsidR="001612D8" w:rsidRDefault="001612D8" w:rsidP="001612D8">
      <w:pPr>
        <w:pStyle w:val="LGTdoc1"/>
        <w:numPr>
          <w:ilvl w:val="0"/>
          <w:numId w:val="28"/>
        </w:numPr>
        <w:spacing w:beforeLines="0" w:before="120" w:after="220" w:afterAutospacing="0"/>
        <w:jc w:val="left"/>
        <w:rPr>
          <w:b w:val="0"/>
          <w:sz w:val="22"/>
          <w:szCs w:val="22"/>
        </w:rPr>
      </w:pPr>
      <w:r>
        <w:rPr>
          <w:b w:val="0"/>
          <w:sz w:val="22"/>
          <w:szCs w:val="22"/>
        </w:rPr>
        <w:t>TBS 63776 (MCS 20 for 256QAM and MCS 27 for 64QAM)</w:t>
      </w:r>
    </w:p>
    <w:p w14:paraId="1339D3B0" w14:textId="42DFBC50" w:rsidR="001612D8" w:rsidRDefault="001612D8" w:rsidP="001612D8">
      <w:pPr>
        <w:pStyle w:val="LGTdoc1"/>
        <w:numPr>
          <w:ilvl w:val="0"/>
          <w:numId w:val="28"/>
        </w:numPr>
        <w:spacing w:beforeLines="0" w:before="120" w:after="220" w:afterAutospacing="0"/>
        <w:jc w:val="left"/>
        <w:rPr>
          <w:b w:val="0"/>
          <w:sz w:val="22"/>
          <w:szCs w:val="22"/>
        </w:rPr>
      </w:pPr>
      <w:r>
        <w:rPr>
          <w:b w:val="0"/>
          <w:sz w:val="22"/>
          <w:szCs w:val="22"/>
        </w:rPr>
        <w:t>2 CRS ports</w:t>
      </w:r>
    </w:p>
    <w:p w14:paraId="651B277B" w14:textId="01330083" w:rsidR="001612D8" w:rsidRDefault="001612D8" w:rsidP="001612D8">
      <w:pPr>
        <w:pStyle w:val="LGTdoc1"/>
        <w:spacing w:beforeLines="0" w:before="120" w:after="220" w:afterAutospacing="0"/>
        <w:jc w:val="left"/>
        <w:rPr>
          <w:b w:val="0"/>
          <w:sz w:val="22"/>
          <w:szCs w:val="22"/>
        </w:rPr>
      </w:pPr>
      <w:r>
        <w:rPr>
          <w:b w:val="0"/>
          <w:sz w:val="22"/>
          <w:szCs w:val="22"/>
        </w:rPr>
        <w:t>And the following differences:</w:t>
      </w:r>
    </w:p>
    <w:p w14:paraId="12A64A89" w14:textId="265E3A38" w:rsidR="001612D8" w:rsidRDefault="001612D8" w:rsidP="001612D8">
      <w:pPr>
        <w:pStyle w:val="LGTdoc1"/>
        <w:numPr>
          <w:ilvl w:val="0"/>
          <w:numId w:val="27"/>
        </w:numPr>
        <w:spacing w:beforeLines="0" w:before="120" w:after="220" w:afterAutospacing="0"/>
        <w:jc w:val="left"/>
        <w:rPr>
          <w:b w:val="0"/>
          <w:sz w:val="22"/>
          <w:szCs w:val="22"/>
        </w:rPr>
      </w:pPr>
      <w:r>
        <w:rPr>
          <w:b w:val="0"/>
          <w:sz w:val="22"/>
          <w:szCs w:val="22"/>
        </w:rPr>
        <w:t>Left Figure, CFI=1</w:t>
      </w:r>
    </w:p>
    <w:p w14:paraId="6AC70B1F" w14:textId="45FD15AB" w:rsidR="001612D8" w:rsidRDefault="001612D8" w:rsidP="001612D8">
      <w:pPr>
        <w:pStyle w:val="LGTdoc1"/>
        <w:numPr>
          <w:ilvl w:val="0"/>
          <w:numId w:val="27"/>
        </w:numPr>
        <w:spacing w:beforeLines="0" w:before="120" w:after="220" w:afterAutospacing="0"/>
        <w:jc w:val="left"/>
        <w:rPr>
          <w:b w:val="0"/>
          <w:sz w:val="22"/>
          <w:szCs w:val="22"/>
        </w:rPr>
      </w:pPr>
      <w:r>
        <w:rPr>
          <w:b w:val="0"/>
          <w:sz w:val="22"/>
          <w:szCs w:val="22"/>
        </w:rPr>
        <w:t>Right Figure: CFI=3</w:t>
      </w:r>
    </w:p>
    <w:p w14:paraId="4BBD14FE" w14:textId="291C2A36" w:rsidR="001612D8" w:rsidRDefault="001612D8" w:rsidP="001612D8">
      <w:pPr>
        <w:pStyle w:val="LGTdoc1"/>
        <w:spacing w:beforeLines="0" w:before="120" w:after="220" w:afterAutospacing="0"/>
        <w:jc w:val="left"/>
        <w:rPr>
          <w:b w:val="0"/>
          <w:sz w:val="22"/>
          <w:szCs w:val="22"/>
        </w:rPr>
      </w:pPr>
      <w:r>
        <w:rPr>
          <w:b w:val="0"/>
          <w:sz w:val="22"/>
          <w:szCs w:val="22"/>
        </w:rPr>
        <w:t>Essentially, the main difference between these two scenarios is that the first one operates at a higher coding rate regime than the second due to the smaller number of resource elements.</w:t>
      </w:r>
    </w:p>
    <w:p w14:paraId="5C997444" w14:textId="02840C10" w:rsidR="001612D8" w:rsidRDefault="001612D8" w:rsidP="001612D8">
      <w:pPr>
        <w:pStyle w:val="LGTdoc1"/>
        <w:spacing w:beforeLines="0" w:before="120" w:after="220" w:afterAutospacing="0"/>
        <w:jc w:val="left"/>
        <w:rPr>
          <w:b w:val="0"/>
          <w:sz w:val="22"/>
          <w:szCs w:val="22"/>
        </w:rPr>
      </w:pPr>
      <w:r>
        <w:rPr>
          <w:b w:val="0"/>
          <w:sz w:val="22"/>
          <w:szCs w:val="22"/>
        </w:rPr>
        <w:t xml:space="preserve">We observe that, under these settings, for the CFI=1 case 64QAM outperforms 256QAM, but the opposite behaviour is observed in the </w:t>
      </w:r>
      <w:r w:rsidR="003C2869">
        <w:rPr>
          <w:b w:val="0"/>
          <w:sz w:val="22"/>
          <w:szCs w:val="22"/>
        </w:rPr>
        <w:t>CFI=3</w:t>
      </w:r>
      <w:r>
        <w:rPr>
          <w:b w:val="0"/>
          <w:sz w:val="22"/>
          <w:szCs w:val="22"/>
        </w:rPr>
        <w:t>.</w:t>
      </w:r>
    </w:p>
    <w:p w14:paraId="6200816F" w14:textId="3F118F6B" w:rsidR="001612D8" w:rsidRDefault="001612D8" w:rsidP="001612D8">
      <w:pPr>
        <w:pStyle w:val="LGTdoc1"/>
        <w:keepNext/>
        <w:spacing w:beforeLines="0" w:before="120" w:after="220" w:afterAutospacing="0"/>
        <w:jc w:val="center"/>
      </w:pPr>
      <w:r w:rsidRPr="001612D8">
        <w:rPr>
          <w:b w:val="0"/>
          <w:noProof/>
          <w:sz w:val="22"/>
          <w:szCs w:val="22"/>
          <w:lang w:val="en-US" w:eastAsia="en-US"/>
        </w:rPr>
        <w:lastRenderedPageBreak/>
        <w:drawing>
          <wp:inline distT="0" distB="0" distL="0" distR="0" wp14:anchorId="7FB9899D" wp14:editId="25BF5B6B">
            <wp:extent cx="2671692" cy="2748519"/>
            <wp:effectExtent l="0" t="0" r="0" b="0"/>
            <wp:docPr id="40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pic:cNvPicPr>
                      <a:picLocks noChangeAspect="1"/>
                    </pic:cNvPicPr>
                  </pic:nvPicPr>
                  <pic:blipFill rotWithShape="1">
                    <a:blip r:embed="rId14" cstate="print">
                      <a:extLst>
                        <a:ext uri="{28A0092B-C50C-407E-A947-70E740481C1C}">
                          <a14:useLocalDpi xmlns:a14="http://schemas.microsoft.com/office/drawing/2010/main" val="0"/>
                        </a:ext>
                      </a:extLst>
                    </a:blip>
                    <a:srcRect r="50609"/>
                    <a:stretch/>
                  </pic:blipFill>
                  <pic:spPr bwMode="auto">
                    <a:xfrm>
                      <a:off x="0" y="0"/>
                      <a:ext cx="2676188" cy="2753145"/>
                    </a:xfrm>
                    <a:prstGeom prst="rect">
                      <a:avLst/>
                    </a:prstGeom>
                    <a:noFill/>
                    <a:ln>
                      <a:noFill/>
                    </a:ln>
                    <a:extLst>
                      <a:ext uri="{53640926-AAD7-44D8-BBD7-CCE9431645EC}">
                        <a14:shadowObscured xmlns:a14="http://schemas.microsoft.com/office/drawing/2010/main"/>
                      </a:ext>
                    </a:extLst>
                  </pic:spPr>
                </pic:pic>
              </a:graphicData>
            </a:graphic>
          </wp:inline>
        </w:drawing>
      </w:r>
      <w:r w:rsidRPr="001612D8">
        <w:rPr>
          <w:b w:val="0"/>
          <w:noProof/>
          <w:sz w:val="22"/>
          <w:szCs w:val="22"/>
          <w:lang w:val="en-US" w:eastAsia="en-US"/>
        </w:rPr>
        <w:drawing>
          <wp:inline distT="0" distB="0" distL="0" distR="0" wp14:anchorId="1FB7C3CE" wp14:editId="5992B2A3">
            <wp:extent cx="2638590" cy="2709976"/>
            <wp:effectExtent l="0" t="0" r="0" b="0"/>
            <wp:docPr id="102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2" name="Picture 2"/>
                    <pic:cNvPicPr>
                      <a:picLocks noChangeAspect="1"/>
                    </pic:cNvPicPr>
                  </pic:nvPicPr>
                  <pic:blipFill rotWithShape="1">
                    <a:blip r:embed="rId15" cstate="print">
                      <a:extLst>
                        <a:ext uri="{28A0092B-C50C-407E-A947-70E740481C1C}">
                          <a14:useLocalDpi xmlns:a14="http://schemas.microsoft.com/office/drawing/2010/main" val="0"/>
                        </a:ext>
                      </a:extLst>
                    </a:blip>
                    <a:srcRect r="50527"/>
                    <a:stretch/>
                  </pic:blipFill>
                  <pic:spPr bwMode="auto">
                    <a:xfrm>
                      <a:off x="0" y="0"/>
                      <a:ext cx="2655810" cy="2727662"/>
                    </a:xfrm>
                    <a:prstGeom prst="rect">
                      <a:avLst/>
                    </a:prstGeom>
                    <a:noFill/>
                    <a:ln>
                      <a:noFill/>
                    </a:ln>
                    <a:extLst>
                      <a:ext uri="{53640926-AAD7-44D8-BBD7-CCE9431645EC}">
                        <a14:shadowObscured xmlns:a14="http://schemas.microsoft.com/office/drawing/2010/main"/>
                      </a:ext>
                    </a:extLst>
                  </pic:spPr>
                </pic:pic>
              </a:graphicData>
            </a:graphic>
          </wp:inline>
        </w:drawing>
      </w:r>
    </w:p>
    <w:p w14:paraId="05EFA209" w14:textId="7AC4CF37" w:rsidR="001612D8" w:rsidRDefault="001612D8" w:rsidP="001612D8">
      <w:pPr>
        <w:pStyle w:val="Caption"/>
        <w:jc w:val="center"/>
        <w:rPr>
          <w:b w:val="0"/>
          <w:sz w:val="22"/>
          <w:szCs w:val="22"/>
        </w:rPr>
      </w:pPr>
      <w:r>
        <w:t xml:space="preserve">Figure </w:t>
      </w:r>
      <w:r>
        <w:fldChar w:fldCharType="begin"/>
      </w:r>
      <w:r>
        <w:instrText xml:space="preserve"> SEQ Figure \* ARABIC </w:instrText>
      </w:r>
      <w:r>
        <w:fldChar w:fldCharType="separate"/>
      </w:r>
      <w:r>
        <w:rPr>
          <w:noProof/>
        </w:rPr>
        <w:t>1</w:t>
      </w:r>
      <w:r>
        <w:fldChar w:fldCharType="end"/>
      </w:r>
      <w:r>
        <w:t xml:space="preserve"> BLER for CFI=1 (left) and CFI=3 (right)</w:t>
      </w:r>
    </w:p>
    <w:p w14:paraId="593B5000" w14:textId="77777777" w:rsidR="001612D8" w:rsidRDefault="001612D8" w:rsidP="001612D8">
      <w:pPr>
        <w:pStyle w:val="LGTdoc1"/>
        <w:spacing w:beforeLines="0" w:before="120" w:after="220" w:afterAutospacing="0"/>
        <w:jc w:val="left"/>
        <w:rPr>
          <w:b w:val="0"/>
          <w:sz w:val="22"/>
          <w:szCs w:val="22"/>
        </w:rPr>
      </w:pPr>
    </w:p>
    <w:p w14:paraId="2BB12932" w14:textId="141F0C63" w:rsidR="001612D8" w:rsidRDefault="001612D8" w:rsidP="001612D8">
      <w:pPr>
        <w:pStyle w:val="LGTdoc1"/>
        <w:spacing w:beforeLines="0" w:before="120" w:after="220" w:afterAutospacing="0"/>
        <w:jc w:val="left"/>
        <w:rPr>
          <w:b w:val="0"/>
          <w:sz w:val="22"/>
          <w:szCs w:val="22"/>
        </w:rPr>
      </w:pPr>
      <w:r>
        <w:rPr>
          <w:b w:val="0"/>
          <w:sz w:val="22"/>
          <w:szCs w:val="22"/>
        </w:rPr>
        <w:t xml:space="preserve">Similar observations can be made on the legacy TBS table depending on the number of available </w:t>
      </w:r>
      <w:proofErr w:type="spellStart"/>
      <w:r>
        <w:rPr>
          <w:b w:val="0"/>
          <w:sz w:val="22"/>
          <w:szCs w:val="22"/>
        </w:rPr>
        <w:t>REs.</w:t>
      </w:r>
      <w:proofErr w:type="spellEnd"/>
      <w:r>
        <w:rPr>
          <w:b w:val="0"/>
          <w:sz w:val="22"/>
          <w:szCs w:val="22"/>
        </w:rPr>
        <w:t xml:space="preserve"> In Figure 2 we calculate the code rate for a CFI=3 case with 32CSI-RS tones per RB, and we can observe that, in many cases, it leads to data rates beyond 0.931.</w:t>
      </w:r>
    </w:p>
    <w:p w14:paraId="24827D05" w14:textId="77777777" w:rsidR="001612D8" w:rsidRDefault="001612D8" w:rsidP="001612D8">
      <w:pPr>
        <w:pStyle w:val="LGTdoc1"/>
        <w:keepNext/>
        <w:spacing w:beforeLines="0" w:before="120" w:after="220" w:afterAutospacing="0"/>
        <w:jc w:val="left"/>
      </w:pPr>
      <w:r w:rsidRPr="001612D8">
        <w:rPr>
          <w:noProof/>
          <w:sz w:val="22"/>
          <w:szCs w:val="22"/>
          <w:lang w:val="en-US" w:eastAsia="en-US"/>
        </w:rPr>
        <w:drawing>
          <wp:inline distT="0" distB="0" distL="0" distR="0" wp14:anchorId="12245E0A" wp14:editId="158D30AC">
            <wp:extent cx="5951220" cy="3561080"/>
            <wp:effectExtent l="0" t="0" r="0" b="127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6"/>
                    <a:stretch>
                      <a:fillRect/>
                    </a:stretch>
                  </pic:blipFill>
                  <pic:spPr>
                    <a:xfrm>
                      <a:off x="0" y="0"/>
                      <a:ext cx="5951220" cy="3561080"/>
                    </a:xfrm>
                    <a:prstGeom prst="rect">
                      <a:avLst/>
                    </a:prstGeom>
                  </pic:spPr>
                </pic:pic>
              </a:graphicData>
            </a:graphic>
          </wp:inline>
        </w:drawing>
      </w:r>
    </w:p>
    <w:p w14:paraId="2407D863" w14:textId="237EAEAF" w:rsidR="001612D8" w:rsidRDefault="001612D8" w:rsidP="001612D8">
      <w:pPr>
        <w:pStyle w:val="Caption"/>
        <w:jc w:val="center"/>
        <w:rPr>
          <w:sz w:val="22"/>
          <w:szCs w:val="22"/>
        </w:rPr>
      </w:pPr>
      <w:r>
        <w:t xml:space="preserve">Figure </w:t>
      </w:r>
      <w:r>
        <w:fldChar w:fldCharType="begin"/>
      </w:r>
      <w:r>
        <w:instrText xml:space="preserve"> SEQ Figure \* ARABIC </w:instrText>
      </w:r>
      <w:r>
        <w:fldChar w:fldCharType="separate"/>
      </w:r>
      <w:r>
        <w:rPr>
          <w:noProof/>
        </w:rPr>
        <w:t>2</w:t>
      </w:r>
      <w:r>
        <w:fldChar w:fldCharType="end"/>
      </w:r>
      <w:r>
        <w:t xml:space="preserve"> Code rate calculation for 64-QAM TBS table. The entries in red are above 0.931 </w:t>
      </w:r>
    </w:p>
    <w:p w14:paraId="6FBBD028" w14:textId="7250C74C" w:rsidR="00055462" w:rsidRDefault="00055462" w:rsidP="000F21B4">
      <w:pPr>
        <w:pStyle w:val="LGTdoc1"/>
        <w:spacing w:beforeLines="0" w:before="120" w:after="220" w:afterAutospacing="0"/>
        <w:jc w:val="left"/>
        <w:rPr>
          <w:sz w:val="22"/>
          <w:szCs w:val="22"/>
        </w:rPr>
      </w:pPr>
    </w:p>
    <w:p w14:paraId="1FFAA9DE" w14:textId="3580C15E" w:rsidR="001612D8" w:rsidRPr="001612D8" w:rsidRDefault="001612D8" w:rsidP="000F21B4">
      <w:pPr>
        <w:pStyle w:val="LGTdoc1"/>
        <w:spacing w:beforeLines="0" w:before="120" w:after="220" w:afterAutospacing="0"/>
        <w:jc w:val="left"/>
        <w:rPr>
          <w:b w:val="0"/>
          <w:sz w:val="22"/>
          <w:szCs w:val="22"/>
        </w:rPr>
      </w:pPr>
      <w:r w:rsidRPr="001612D8">
        <w:rPr>
          <w:b w:val="0"/>
          <w:sz w:val="22"/>
          <w:szCs w:val="22"/>
        </w:rPr>
        <w:t>In gene</w:t>
      </w:r>
      <w:r>
        <w:rPr>
          <w:b w:val="0"/>
          <w:sz w:val="22"/>
          <w:szCs w:val="22"/>
        </w:rPr>
        <w:t>ral, the problem is given by the fact that the association between MCS/TBS and modulation scheme is static, i.e., for a given MCS, the UE uses the modulation scheme in the MCS table. This selection is made regardless of the number of available resource elements</w:t>
      </w:r>
      <w:r w:rsidR="003C2869">
        <w:rPr>
          <w:b w:val="0"/>
          <w:sz w:val="22"/>
          <w:szCs w:val="22"/>
        </w:rPr>
        <w:t xml:space="preserve"> for data rate matching</w:t>
      </w:r>
      <w:r>
        <w:rPr>
          <w:b w:val="0"/>
          <w:sz w:val="22"/>
          <w:szCs w:val="22"/>
        </w:rPr>
        <w:t>.</w:t>
      </w:r>
    </w:p>
    <w:p w14:paraId="590FCF4D" w14:textId="1E371512" w:rsidR="001612D8" w:rsidRDefault="001612D8" w:rsidP="000F21B4">
      <w:pPr>
        <w:pStyle w:val="LGTdoc1"/>
        <w:spacing w:beforeLines="0" w:before="120" w:after="220" w:afterAutospacing="0"/>
        <w:jc w:val="left"/>
        <w:rPr>
          <w:sz w:val="22"/>
          <w:szCs w:val="22"/>
        </w:rPr>
      </w:pPr>
      <w:r w:rsidRPr="001612D8">
        <w:rPr>
          <w:sz w:val="22"/>
          <w:szCs w:val="22"/>
          <w:u w:val="single"/>
        </w:rPr>
        <w:t>Observation 1:</w:t>
      </w:r>
      <w:r>
        <w:rPr>
          <w:sz w:val="22"/>
          <w:szCs w:val="22"/>
        </w:rPr>
        <w:t xml:space="preserve"> The static association between MCS/TBS and modulation scheme leads to suboptimal modulation selection in some cases.</w:t>
      </w:r>
    </w:p>
    <w:p w14:paraId="47E1C613" w14:textId="29B6671A" w:rsidR="00E836BA" w:rsidRDefault="00055462" w:rsidP="00E836BA">
      <w:pPr>
        <w:pStyle w:val="Heading1"/>
      </w:pPr>
      <w:r>
        <w:lastRenderedPageBreak/>
        <w:t>Potential solutions</w:t>
      </w:r>
    </w:p>
    <w:p w14:paraId="559E22B7" w14:textId="77777777" w:rsidR="00055462" w:rsidRPr="00055462" w:rsidRDefault="00055462" w:rsidP="00055462">
      <w:pPr>
        <w:rPr>
          <w:lang w:val="en-GB" w:eastAsia="en-US"/>
        </w:rPr>
      </w:pPr>
    </w:p>
    <w:p w14:paraId="25DB5F55" w14:textId="4E6DD9E6" w:rsidR="00055462" w:rsidRDefault="001612D8" w:rsidP="00055462">
      <w:pPr>
        <w:rPr>
          <w:rFonts w:ascii="Times New Roman"/>
          <w:snapToGrid w:val="0"/>
          <w:kern w:val="0"/>
          <w:sz w:val="22"/>
          <w:szCs w:val="22"/>
          <w:lang w:val="en-GB"/>
        </w:rPr>
      </w:pPr>
      <w:r>
        <w:rPr>
          <w:rFonts w:ascii="Times New Roman"/>
          <w:snapToGrid w:val="0"/>
          <w:kern w:val="0"/>
          <w:sz w:val="22"/>
          <w:szCs w:val="22"/>
          <w:lang w:val="en-GB"/>
        </w:rPr>
        <w:t xml:space="preserve">From the evidence presented in the previous section, it can be seen that the modulation scheme selection has to </w:t>
      </w:r>
      <w:r w:rsidR="003C2869">
        <w:rPr>
          <w:rFonts w:ascii="Times New Roman"/>
          <w:snapToGrid w:val="0"/>
          <w:kern w:val="0"/>
          <w:sz w:val="22"/>
          <w:szCs w:val="22"/>
          <w:lang w:val="en-GB"/>
        </w:rPr>
        <w:t>selected depending</w:t>
      </w:r>
      <w:r>
        <w:rPr>
          <w:rFonts w:ascii="Times New Roman"/>
          <w:snapToGrid w:val="0"/>
          <w:kern w:val="0"/>
          <w:sz w:val="22"/>
          <w:szCs w:val="22"/>
          <w:lang w:val="en-GB"/>
        </w:rPr>
        <w:t xml:space="preserve"> the number of available resources</w:t>
      </w:r>
      <w:r w:rsidR="003C2869">
        <w:rPr>
          <w:rFonts w:ascii="Times New Roman"/>
          <w:snapToGrid w:val="0"/>
          <w:kern w:val="0"/>
          <w:sz w:val="22"/>
          <w:szCs w:val="22"/>
          <w:lang w:val="en-GB"/>
        </w:rPr>
        <w:t xml:space="preserve"> for optimum performance</w:t>
      </w:r>
      <w:r>
        <w:rPr>
          <w:rFonts w:ascii="Times New Roman"/>
          <w:snapToGrid w:val="0"/>
          <w:kern w:val="0"/>
          <w:sz w:val="22"/>
          <w:szCs w:val="22"/>
          <w:lang w:val="en-GB"/>
        </w:rPr>
        <w:t>. Thus, depending on a variety of configurations, such as number of control symbols, number of REs used by reference signals, CP length, etc., the optimum modulation scheme may be different.</w:t>
      </w:r>
    </w:p>
    <w:p w14:paraId="43818374" w14:textId="62A58CDD" w:rsidR="001612D8" w:rsidRDefault="001612D8" w:rsidP="00055462">
      <w:pPr>
        <w:rPr>
          <w:rFonts w:ascii="Times New Roman"/>
          <w:snapToGrid w:val="0"/>
          <w:kern w:val="0"/>
          <w:sz w:val="22"/>
          <w:szCs w:val="22"/>
          <w:lang w:val="en-GB"/>
        </w:rPr>
      </w:pPr>
    </w:p>
    <w:p w14:paraId="0419E7C2" w14:textId="554FC881" w:rsidR="001612D8" w:rsidRDefault="001612D8" w:rsidP="00055462">
      <w:pPr>
        <w:rPr>
          <w:rFonts w:ascii="Times New Roman"/>
          <w:snapToGrid w:val="0"/>
          <w:kern w:val="0"/>
          <w:sz w:val="22"/>
          <w:szCs w:val="22"/>
          <w:lang w:val="en-GB"/>
        </w:rPr>
      </w:pPr>
      <w:r>
        <w:rPr>
          <w:rFonts w:ascii="Times New Roman"/>
          <w:snapToGrid w:val="0"/>
          <w:kern w:val="0"/>
          <w:sz w:val="22"/>
          <w:szCs w:val="22"/>
          <w:lang w:val="en-GB"/>
        </w:rPr>
        <w:t>In this section, we provide two possible solutions to this problem.</w:t>
      </w:r>
    </w:p>
    <w:p w14:paraId="70CBE443" w14:textId="673620C1" w:rsidR="001612D8" w:rsidRDefault="001612D8" w:rsidP="00055462">
      <w:pPr>
        <w:rPr>
          <w:rFonts w:ascii="Times New Roman"/>
          <w:snapToGrid w:val="0"/>
          <w:kern w:val="0"/>
          <w:sz w:val="22"/>
          <w:szCs w:val="22"/>
          <w:lang w:val="en-GB"/>
        </w:rPr>
      </w:pPr>
    </w:p>
    <w:p w14:paraId="22938666" w14:textId="3D9A0509" w:rsidR="001612D8" w:rsidRDefault="001612D8" w:rsidP="00055462">
      <w:pPr>
        <w:rPr>
          <w:rFonts w:ascii="Times New Roman"/>
          <w:snapToGrid w:val="0"/>
          <w:kern w:val="0"/>
          <w:sz w:val="22"/>
          <w:szCs w:val="22"/>
          <w:lang w:val="en-GB"/>
        </w:rPr>
      </w:pPr>
    </w:p>
    <w:p w14:paraId="01BE114C" w14:textId="2F578D65" w:rsidR="001612D8" w:rsidRDefault="001612D8" w:rsidP="00055462">
      <w:pPr>
        <w:rPr>
          <w:rFonts w:ascii="Times New Roman"/>
          <w:b/>
          <w:i/>
          <w:snapToGrid w:val="0"/>
          <w:kern w:val="0"/>
          <w:sz w:val="22"/>
          <w:szCs w:val="22"/>
          <w:u w:val="single"/>
          <w:lang w:val="en-GB"/>
        </w:rPr>
      </w:pPr>
      <w:r w:rsidRPr="001612D8">
        <w:rPr>
          <w:rFonts w:ascii="Times New Roman"/>
          <w:b/>
          <w:i/>
          <w:snapToGrid w:val="0"/>
          <w:kern w:val="0"/>
          <w:sz w:val="22"/>
          <w:szCs w:val="22"/>
          <w:u w:val="single"/>
          <w:lang w:val="en-GB"/>
        </w:rPr>
        <w:t>Solution 1: Modulation determination based on rate matching</w:t>
      </w:r>
    </w:p>
    <w:p w14:paraId="6C2603BD" w14:textId="77777777" w:rsidR="001612D8" w:rsidRDefault="001612D8" w:rsidP="00055462">
      <w:pPr>
        <w:rPr>
          <w:rFonts w:ascii="Times New Roman"/>
          <w:snapToGrid w:val="0"/>
          <w:kern w:val="0"/>
          <w:sz w:val="22"/>
          <w:szCs w:val="22"/>
          <w:lang w:val="en-GB"/>
        </w:rPr>
      </w:pPr>
    </w:p>
    <w:p w14:paraId="4CD81FF3" w14:textId="001FB89A" w:rsidR="001612D8" w:rsidRDefault="001612D8" w:rsidP="00055462">
      <w:pPr>
        <w:rPr>
          <w:rFonts w:ascii="Times New Roman"/>
          <w:snapToGrid w:val="0"/>
          <w:kern w:val="0"/>
          <w:sz w:val="22"/>
          <w:szCs w:val="22"/>
          <w:lang w:val="en-GB"/>
        </w:rPr>
      </w:pPr>
      <w:r w:rsidRPr="001612D8">
        <w:rPr>
          <w:rFonts w:ascii="Times New Roman"/>
          <w:snapToGrid w:val="0"/>
          <w:kern w:val="0"/>
          <w:sz w:val="22"/>
          <w:szCs w:val="22"/>
          <w:lang w:val="en-GB"/>
        </w:rPr>
        <w:t>Since the</w:t>
      </w:r>
      <w:r>
        <w:rPr>
          <w:rFonts w:ascii="Times New Roman"/>
          <w:snapToGrid w:val="0"/>
          <w:kern w:val="0"/>
          <w:sz w:val="22"/>
          <w:szCs w:val="22"/>
          <w:lang w:val="en-GB"/>
        </w:rPr>
        <w:t xml:space="preserve"> optimum modulation scheme depends on the TBS size and number of available REs, one possible solution would be to determine the modulation scheme based on these two values. The number of available REs should be calculated according to the actual rate matching (which is known by </w:t>
      </w:r>
      <w:proofErr w:type="spellStart"/>
      <w:r>
        <w:rPr>
          <w:rFonts w:ascii="Times New Roman"/>
          <w:snapToGrid w:val="0"/>
          <w:kern w:val="0"/>
          <w:sz w:val="22"/>
          <w:szCs w:val="22"/>
          <w:lang w:val="en-GB"/>
        </w:rPr>
        <w:t>eNB</w:t>
      </w:r>
      <w:proofErr w:type="spellEnd"/>
      <w:r>
        <w:rPr>
          <w:rFonts w:ascii="Times New Roman"/>
          <w:snapToGrid w:val="0"/>
          <w:kern w:val="0"/>
          <w:sz w:val="22"/>
          <w:szCs w:val="22"/>
          <w:lang w:val="en-GB"/>
        </w:rPr>
        <w:t xml:space="preserve"> and UE). A pseudocode of the procedure would be as follows:</w:t>
      </w:r>
    </w:p>
    <w:p w14:paraId="5BF99F45" w14:textId="77777777" w:rsidR="001612D8" w:rsidRDefault="001612D8" w:rsidP="00055462">
      <w:pPr>
        <w:rPr>
          <w:rFonts w:ascii="Times New Roman"/>
          <w:snapToGrid w:val="0"/>
          <w:kern w:val="0"/>
          <w:sz w:val="22"/>
          <w:szCs w:val="22"/>
          <w:lang w:val="en-GB"/>
        </w:rPr>
      </w:pPr>
    </w:p>
    <w:p w14:paraId="53CAA206" w14:textId="41AF9DEB" w:rsidR="001612D8" w:rsidRDefault="001612D8" w:rsidP="001612D8">
      <w:pPr>
        <w:pStyle w:val="ListParagraph"/>
        <w:numPr>
          <w:ilvl w:val="0"/>
          <w:numId w:val="29"/>
        </w:numPr>
        <w:ind w:leftChars="0"/>
        <w:rPr>
          <w:rFonts w:ascii="Times New Roman"/>
          <w:snapToGrid w:val="0"/>
          <w:sz w:val="22"/>
          <w:szCs w:val="22"/>
          <w:lang w:val="en-GB"/>
        </w:rPr>
      </w:pPr>
      <w:r>
        <w:rPr>
          <w:rFonts w:ascii="Times New Roman"/>
          <w:snapToGrid w:val="0"/>
          <w:sz w:val="22"/>
          <w:szCs w:val="22"/>
          <w:lang w:val="en-GB"/>
        </w:rPr>
        <w:t>From the DCI, obtain the resource allocation (#RBs) and MCS</w:t>
      </w:r>
    </w:p>
    <w:p w14:paraId="094A0FB9" w14:textId="0DD8BA2F" w:rsidR="001612D8" w:rsidRDefault="001612D8" w:rsidP="001612D8">
      <w:pPr>
        <w:pStyle w:val="ListParagraph"/>
        <w:numPr>
          <w:ilvl w:val="0"/>
          <w:numId w:val="29"/>
        </w:numPr>
        <w:ind w:leftChars="0"/>
        <w:rPr>
          <w:rFonts w:ascii="Times New Roman"/>
          <w:snapToGrid w:val="0"/>
          <w:sz w:val="22"/>
          <w:szCs w:val="22"/>
          <w:lang w:val="en-GB"/>
        </w:rPr>
      </w:pPr>
      <w:r>
        <w:rPr>
          <w:rFonts w:ascii="Times New Roman"/>
          <w:snapToGrid w:val="0"/>
          <w:sz w:val="22"/>
          <w:szCs w:val="22"/>
          <w:lang w:val="en-GB"/>
        </w:rPr>
        <w:t>From the #RBs and MCS, determine the TBS using the current table</w:t>
      </w:r>
    </w:p>
    <w:p w14:paraId="6C9E0E53" w14:textId="597304FA" w:rsidR="001612D8" w:rsidRDefault="001612D8" w:rsidP="001612D8">
      <w:pPr>
        <w:pStyle w:val="ListParagraph"/>
        <w:numPr>
          <w:ilvl w:val="0"/>
          <w:numId w:val="29"/>
        </w:numPr>
        <w:ind w:leftChars="0"/>
        <w:rPr>
          <w:rFonts w:ascii="Times New Roman"/>
          <w:snapToGrid w:val="0"/>
          <w:sz w:val="22"/>
          <w:szCs w:val="22"/>
          <w:lang w:val="en-GB"/>
        </w:rPr>
      </w:pPr>
      <w:r>
        <w:rPr>
          <w:rFonts w:ascii="Times New Roman"/>
          <w:snapToGrid w:val="0"/>
          <w:sz w:val="22"/>
          <w:szCs w:val="22"/>
          <w:lang w:val="en-GB"/>
        </w:rPr>
        <w:t>Calculate the number of available REs for data transmission</w:t>
      </w:r>
    </w:p>
    <w:p w14:paraId="2C92C543" w14:textId="6F100275" w:rsidR="001612D8" w:rsidRPr="001612D8" w:rsidRDefault="001612D8" w:rsidP="001612D8">
      <w:pPr>
        <w:pStyle w:val="ListParagraph"/>
        <w:numPr>
          <w:ilvl w:val="1"/>
          <w:numId w:val="29"/>
        </w:numPr>
        <w:ind w:leftChars="0"/>
        <w:rPr>
          <w:rFonts w:ascii="Times New Roman"/>
          <w:snapToGrid w:val="0"/>
          <w:sz w:val="22"/>
          <w:szCs w:val="22"/>
          <w:lang w:val="en-GB"/>
        </w:rPr>
      </w:pPr>
      <w:r>
        <w:rPr>
          <w:rFonts w:ascii="Times New Roman"/>
          <w:snapToGrid w:val="0"/>
          <w:sz w:val="22"/>
          <w:szCs w:val="22"/>
          <w:lang w:val="en-GB"/>
        </w:rPr>
        <w:t>This is the number of symbols that the UE uses for rate matching.</w:t>
      </w:r>
    </w:p>
    <w:p w14:paraId="6260697F" w14:textId="2377D2A4" w:rsidR="001612D8" w:rsidRDefault="001612D8" w:rsidP="001612D8">
      <w:pPr>
        <w:pStyle w:val="ListParagraph"/>
        <w:numPr>
          <w:ilvl w:val="0"/>
          <w:numId w:val="29"/>
        </w:numPr>
        <w:ind w:leftChars="0"/>
        <w:rPr>
          <w:rFonts w:ascii="Times New Roman"/>
          <w:snapToGrid w:val="0"/>
          <w:sz w:val="22"/>
          <w:szCs w:val="22"/>
          <w:lang w:val="en-GB"/>
        </w:rPr>
      </w:pPr>
      <w:r>
        <w:rPr>
          <w:rFonts w:ascii="Times New Roman"/>
          <w:snapToGrid w:val="0"/>
          <w:sz w:val="22"/>
          <w:szCs w:val="22"/>
          <w:lang w:val="en-GB"/>
        </w:rPr>
        <w:t>Calculate the spectral efficiency as SE=TBS/(#REs)</w:t>
      </w:r>
    </w:p>
    <w:p w14:paraId="211D6E2A" w14:textId="2829D071" w:rsidR="001612D8" w:rsidRDefault="001612D8" w:rsidP="001612D8">
      <w:pPr>
        <w:pStyle w:val="ListParagraph"/>
        <w:numPr>
          <w:ilvl w:val="0"/>
          <w:numId w:val="29"/>
        </w:numPr>
        <w:ind w:leftChars="0"/>
        <w:rPr>
          <w:rFonts w:ascii="Times New Roman"/>
          <w:snapToGrid w:val="0"/>
          <w:sz w:val="22"/>
          <w:szCs w:val="22"/>
          <w:lang w:val="en-GB"/>
        </w:rPr>
      </w:pPr>
      <w:r>
        <w:rPr>
          <w:rFonts w:ascii="Times New Roman"/>
          <w:snapToGrid w:val="0"/>
          <w:sz w:val="22"/>
          <w:szCs w:val="22"/>
          <w:lang w:val="en-GB"/>
        </w:rPr>
        <w:t>From the SE and a set of thresholds (T</w:t>
      </w:r>
      <w:r>
        <w:rPr>
          <w:rFonts w:ascii="Times New Roman"/>
          <w:snapToGrid w:val="0"/>
          <w:sz w:val="22"/>
          <w:szCs w:val="22"/>
          <w:vertAlign w:val="subscript"/>
          <w:lang w:val="en-GB"/>
        </w:rPr>
        <w:t>16QAM</w:t>
      </w:r>
      <w:r>
        <w:rPr>
          <w:rFonts w:ascii="Times New Roman"/>
          <w:snapToGrid w:val="0"/>
          <w:sz w:val="22"/>
          <w:szCs w:val="22"/>
          <w:lang w:val="en-GB"/>
        </w:rPr>
        <w:t>, T</w:t>
      </w:r>
      <w:r>
        <w:rPr>
          <w:rFonts w:ascii="Times New Roman"/>
          <w:snapToGrid w:val="0"/>
          <w:sz w:val="22"/>
          <w:szCs w:val="22"/>
          <w:vertAlign w:val="subscript"/>
          <w:lang w:val="en-GB"/>
        </w:rPr>
        <w:t>64QAM</w:t>
      </w:r>
      <w:r>
        <w:rPr>
          <w:rFonts w:ascii="Times New Roman"/>
          <w:snapToGrid w:val="0"/>
          <w:sz w:val="22"/>
          <w:szCs w:val="22"/>
          <w:lang w:val="en-GB"/>
        </w:rPr>
        <w:t>, T</w:t>
      </w:r>
      <w:r>
        <w:rPr>
          <w:rFonts w:ascii="Times New Roman"/>
          <w:snapToGrid w:val="0"/>
          <w:sz w:val="22"/>
          <w:szCs w:val="22"/>
          <w:vertAlign w:val="subscript"/>
          <w:lang w:val="en-GB"/>
        </w:rPr>
        <w:t>256QAM</w:t>
      </w:r>
      <w:r>
        <w:rPr>
          <w:rFonts w:ascii="Times New Roman"/>
          <w:snapToGrid w:val="0"/>
          <w:sz w:val="22"/>
          <w:szCs w:val="22"/>
          <w:lang w:val="en-GB"/>
        </w:rPr>
        <w:t>) obtain the modulation scheme</w:t>
      </w:r>
    </w:p>
    <w:p w14:paraId="56D28DE9" w14:textId="21280934" w:rsidR="001612D8" w:rsidRDefault="001612D8" w:rsidP="001612D8">
      <w:pPr>
        <w:rPr>
          <w:rFonts w:ascii="Times New Roman"/>
          <w:snapToGrid w:val="0"/>
          <w:sz w:val="22"/>
          <w:szCs w:val="22"/>
          <w:lang w:val="en-GB"/>
        </w:rPr>
      </w:pPr>
    </w:p>
    <w:p w14:paraId="17F5DB1F" w14:textId="2CB283A9" w:rsidR="001612D8" w:rsidRPr="001612D8" w:rsidRDefault="001612D8" w:rsidP="001612D8">
      <w:pPr>
        <w:rPr>
          <w:rFonts w:ascii="Times New Roman"/>
          <w:snapToGrid w:val="0"/>
          <w:sz w:val="22"/>
          <w:szCs w:val="22"/>
          <w:lang w:val="en-GB"/>
        </w:rPr>
      </w:pPr>
      <w:r>
        <w:rPr>
          <w:rFonts w:ascii="Times New Roman"/>
          <w:snapToGrid w:val="0"/>
          <w:sz w:val="22"/>
          <w:szCs w:val="22"/>
          <w:lang w:val="en-GB"/>
        </w:rPr>
        <w:t>One example of the last step would be:</w:t>
      </w:r>
    </w:p>
    <w:p w14:paraId="5E6D8C74" w14:textId="77777777" w:rsidR="001612D8" w:rsidRDefault="001612D8" w:rsidP="001612D8">
      <w:pPr>
        <w:ind w:left="800"/>
        <w:rPr>
          <w:rFonts w:ascii="Times New Roman"/>
          <w:i/>
          <w:snapToGrid w:val="0"/>
          <w:kern w:val="0"/>
          <w:sz w:val="22"/>
          <w:szCs w:val="22"/>
        </w:rPr>
      </w:pPr>
    </w:p>
    <w:p w14:paraId="30B3BCEC" w14:textId="0109577A" w:rsidR="001612D8" w:rsidRPr="001612D8" w:rsidRDefault="001612D8" w:rsidP="001612D8">
      <w:pPr>
        <w:ind w:left="800"/>
        <w:rPr>
          <w:rFonts w:ascii="Times New Roman"/>
          <w:i/>
          <w:snapToGrid w:val="0"/>
          <w:kern w:val="0"/>
          <w:sz w:val="22"/>
          <w:szCs w:val="22"/>
        </w:rPr>
      </w:pPr>
      <w:r w:rsidRPr="001612D8">
        <w:rPr>
          <w:rFonts w:ascii="Times New Roman"/>
          <w:i/>
          <w:snapToGrid w:val="0"/>
          <w:kern w:val="0"/>
          <w:sz w:val="22"/>
          <w:szCs w:val="22"/>
        </w:rPr>
        <w:t xml:space="preserve">if SE&lt;1.1768 bits/RE </w:t>
      </w:r>
    </w:p>
    <w:p w14:paraId="3EEB6DD8" w14:textId="4A3D6760" w:rsidR="001612D8" w:rsidRPr="001612D8" w:rsidRDefault="001612D8" w:rsidP="001612D8">
      <w:pPr>
        <w:ind w:left="800" w:firstLine="800"/>
        <w:rPr>
          <w:rFonts w:ascii="Times New Roman"/>
          <w:i/>
          <w:snapToGrid w:val="0"/>
          <w:kern w:val="0"/>
          <w:sz w:val="22"/>
          <w:szCs w:val="22"/>
        </w:rPr>
      </w:pPr>
      <w:r w:rsidRPr="001612D8">
        <w:rPr>
          <w:rFonts w:ascii="Times New Roman"/>
          <w:i/>
          <w:snapToGrid w:val="0"/>
          <w:kern w:val="0"/>
          <w:sz w:val="22"/>
          <w:szCs w:val="22"/>
        </w:rPr>
        <w:t>modulation is QPSK</w:t>
      </w:r>
    </w:p>
    <w:p w14:paraId="4148E6EB" w14:textId="77777777" w:rsidR="001612D8" w:rsidRPr="001612D8" w:rsidRDefault="001612D8" w:rsidP="001612D8">
      <w:pPr>
        <w:ind w:left="800"/>
        <w:rPr>
          <w:rFonts w:ascii="Times New Roman"/>
          <w:i/>
          <w:snapToGrid w:val="0"/>
          <w:kern w:val="0"/>
          <w:sz w:val="22"/>
          <w:szCs w:val="22"/>
        </w:rPr>
      </w:pPr>
      <w:r w:rsidRPr="001612D8">
        <w:rPr>
          <w:rFonts w:ascii="Times New Roman"/>
          <w:i/>
          <w:snapToGrid w:val="0"/>
          <w:kern w:val="0"/>
          <w:sz w:val="22"/>
          <w:szCs w:val="22"/>
        </w:rPr>
        <w:t>else if SE&lt;2.5684 bits/RE</w:t>
      </w:r>
    </w:p>
    <w:p w14:paraId="68E1BDAD" w14:textId="51799B55" w:rsidR="001612D8" w:rsidRPr="001612D8" w:rsidRDefault="001612D8" w:rsidP="001612D8">
      <w:pPr>
        <w:ind w:left="800" w:firstLine="800"/>
        <w:rPr>
          <w:rFonts w:ascii="Times New Roman"/>
          <w:i/>
          <w:snapToGrid w:val="0"/>
          <w:kern w:val="0"/>
          <w:sz w:val="22"/>
          <w:szCs w:val="22"/>
        </w:rPr>
      </w:pPr>
      <w:r w:rsidRPr="001612D8">
        <w:rPr>
          <w:rFonts w:ascii="Times New Roman"/>
          <w:i/>
          <w:snapToGrid w:val="0"/>
          <w:kern w:val="0"/>
          <w:sz w:val="22"/>
          <w:szCs w:val="22"/>
        </w:rPr>
        <w:t xml:space="preserve"> modulation is 16QAM</w:t>
      </w:r>
    </w:p>
    <w:p w14:paraId="1D670600" w14:textId="77777777" w:rsidR="001612D8" w:rsidRPr="001612D8" w:rsidRDefault="001612D8" w:rsidP="001612D8">
      <w:pPr>
        <w:ind w:left="800"/>
        <w:rPr>
          <w:rFonts w:ascii="Times New Roman"/>
          <w:i/>
          <w:snapToGrid w:val="0"/>
          <w:kern w:val="0"/>
          <w:sz w:val="22"/>
          <w:szCs w:val="22"/>
        </w:rPr>
      </w:pPr>
      <w:r w:rsidRPr="001612D8">
        <w:rPr>
          <w:rFonts w:ascii="Times New Roman"/>
          <w:i/>
          <w:snapToGrid w:val="0"/>
          <w:kern w:val="0"/>
          <w:sz w:val="22"/>
          <w:szCs w:val="22"/>
        </w:rPr>
        <w:t>else if SE&lt;5.3349 bits/RE</w:t>
      </w:r>
    </w:p>
    <w:p w14:paraId="37367741" w14:textId="6BDD21CF" w:rsidR="001612D8" w:rsidRPr="001612D8" w:rsidRDefault="001612D8" w:rsidP="001612D8">
      <w:pPr>
        <w:ind w:left="800" w:firstLine="800"/>
        <w:rPr>
          <w:rFonts w:ascii="Times New Roman"/>
          <w:i/>
          <w:snapToGrid w:val="0"/>
          <w:kern w:val="0"/>
          <w:sz w:val="22"/>
          <w:szCs w:val="22"/>
        </w:rPr>
      </w:pPr>
      <w:r w:rsidRPr="001612D8">
        <w:rPr>
          <w:rFonts w:ascii="Times New Roman"/>
          <w:i/>
          <w:snapToGrid w:val="0"/>
          <w:kern w:val="0"/>
          <w:sz w:val="22"/>
          <w:szCs w:val="22"/>
        </w:rPr>
        <w:t xml:space="preserve"> modulation is 64QAM</w:t>
      </w:r>
    </w:p>
    <w:p w14:paraId="3F89D78C" w14:textId="77777777" w:rsidR="001612D8" w:rsidRPr="001612D8" w:rsidRDefault="001612D8" w:rsidP="001612D8">
      <w:pPr>
        <w:ind w:left="800"/>
        <w:rPr>
          <w:rFonts w:ascii="Times New Roman"/>
          <w:i/>
          <w:snapToGrid w:val="0"/>
          <w:kern w:val="0"/>
          <w:sz w:val="22"/>
          <w:szCs w:val="22"/>
        </w:rPr>
      </w:pPr>
      <w:r w:rsidRPr="001612D8">
        <w:rPr>
          <w:rFonts w:ascii="Times New Roman"/>
          <w:i/>
          <w:snapToGrid w:val="0"/>
          <w:kern w:val="0"/>
          <w:sz w:val="22"/>
          <w:szCs w:val="22"/>
        </w:rPr>
        <w:t xml:space="preserve">else, modulation is 256QAM </w:t>
      </w:r>
    </w:p>
    <w:p w14:paraId="6B9E9B04" w14:textId="77777777" w:rsidR="001612D8" w:rsidRPr="001612D8" w:rsidRDefault="001612D8" w:rsidP="00055462">
      <w:pPr>
        <w:rPr>
          <w:rFonts w:ascii="Times New Roman"/>
          <w:b/>
          <w:i/>
          <w:snapToGrid w:val="0"/>
          <w:kern w:val="0"/>
          <w:sz w:val="22"/>
          <w:szCs w:val="22"/>
          <w:u w:val="single"/>
        </w:rPr>
      </w:pPr>
    </w:p>
    <w:p w14:paraId="2CB97ED1" w14:textId="77777777" w:rsidR="001612D8" w:rsidRPr="001612D8" w:rsidRDefault="001612D8" w:rsidP="00055462">
      <w:pPr>
        <w:rPr>
          <w:rFonts w:ascii="Times New Roman"/>
          <w:b/>
          <w:snapToGrid w:val="0"/>
          <w:kern w:val="0"/>
          <w:sz w:val="22"/>
          <w:szCs w:val="22"/>
          <w:u w:val="single"/>
          <w:lang w:val="en-GB"/>
        </w:rPr>
      </w:pPr>
    </w:p>
    <w:p w14:paraId="73D2373B" w14:textId="30CAA877" w:rsidR="001612D8" w:rsidRDefault="001612D8" w:rsidP="001612D8">
      <w:pPr>
        <w:rPr>
          <w:rFonts w:ascii="Times New Roman"/>
          <w:b/>
          <w:i/>
          <w:snapToGrid w:val="0"/>
          <w:kern w:val="0"/>
          <w:sz w:val="22"/>
          <w:szCs w:val="22"/>
          <w:u w:val="single"/>
          <w:lang w:val="en-GB"/>
        </w:rPr>
      </w:pPr>
      <w:r w:rsidRPr="001612D8">
        <w:rPr>
          <w:rFonts w:ascii="Times New Roman"/>
          <w:b/>
          <w:i/>
          <w:snapToGrid w:val="0"/>
          <w:kern w:val="0"/>
          <w:sz w:val="22"/>
          <w:szCs w:val="22"/>
          <w:u w:val="single"/>
          <w:lang w:val="en-GB"/>
        </w:rPr>
        <w:t xml:space="preserve">Solution </w:t>
      </w:r>
      <w:r>
        <w:rPr>
          <w:rFonts w:ascii="Times New Roman"/>
          <w:b/>
          <w:i/>
          <w:snapToGrid w:val="0"/>
          <w:kern w:val="0"/>
          <w:sz w:val="22"/>
          <w:szCs w:val="22"/>
          <w:u w:val="single"/>
          <w:lang w:val="en-GB"/>
        </w:rPr>
        <w:t>2</w:t>
      </w:r>
      <w:r w:rsidRPr="001612D8">
        <w:rPr>
          <w:rFonts w:ascii="Times New Roman"/>
          <w:b/>
          <w:i/>
          <w:snapToGrid w:val="0"/>
          <w:kern w:val="0"/>
          <w:sz w:val="22"/>
          <w:szCs w:val="22"/>
          <w:u w:val="single"/>
          <w:lang w:val="en-GB"/>
        </w:rPr>
        <w:t xml:space="preserve">: Modulation determination based on </w:t>
      </w:r>
      <w:r>
        <w:rPr>
          <w:rFonts w:ascii="Times New Roman"/>
          <w:b/>
          <w:i/>
          <w:snapToGrid w:val="0"/>
          <w:kern w:val="0"/>
          <w:sz w:val="22"/>
          <w:szCs w:val="22"/>
          <w:u w:val="single"/>
          <w:lang w:val="en-GB"/>
        </w:rPr>
        <w:t>explicit signalling</w:t>
      </w:r>
    </w:p>
    <w:p w14:paraId="629DBA0F" w14:textId="77777777" w:rsidR="001612D8" w:rsidRDefault="001612D8" w:rsidP="001612D8">
      <w:pPr>
        <w:rPr>
          <w:rFonts w:ascii="Times New Roman"/>
          <w:b/>
          <w:i/>
          <w:snapToGrid w:val="0"/>
          <w:kern w:val="0"/>
          <w:sz w:val="22"/>
          <w:szCs w:val="22"/>
          <w:u w:val="single"/>
          <w:lang w:val="en-GB"/>
        </w:rPr>
      </w:pPr>
    </w:p>
    <w:p w14:paraId="598191B8" w14:textId="4429A2FC" w:rsidR="001612D8" w:rsidRDefault="001612D8" w:rsidP="00055462">
      <w:pPr>
        <w:rPr>
          <w:rFonts w:ascii="Times New Roman"/>
          <w:snapToGrid w:val="0"/>
          <w:kern w:val="0"/>
          <w:sz w:val="22"/>
          <w:szCs w:val="22"/>
          <w:lang w:val="en-GB"/>
        </w:rPr>
      </w:pPr>
      <w:r>
        <w:rPr>
          <w:rFonts w:ascii="Times New Roman"/>
          <w:snapToGrid w:val="0"/>
          <w:kern w:val="0"/>
          <w:sz w:val="22"/>
          <w:szCs w:val="22"/>
          <w:lang w:val="en-GB"/>
        </w:rPr>
        <w:t xml:space="preserve">A similar problem regarding modulation scheme selection was found in Rel-14 </w:t>
      </w:r>
      <w:proofErr w:type="spellStart"/>
      <w:r>
        <w:rPr>
          <w:rFonts w:ascii="Times New Roman"/>
          <w:snapToGrid w:val="0"/>
          <w:kern w:val="0"/>
          <w:sz w:val="22"/>
          <w:szCs w:val="22"/>
          <w:lang w:val="en-GB"/>
        </w:rPr>
        <w:t>FeMTC</w:t>
      </w:r>
      <w:proofErr w:type="spellEnd"/>
      <w:r>
        <w:rPr>
          <w:rFonts w:ascii="Times New Roman"/>
          <w:snapToGrid w:val="0"/>
          <w:kern w:val="0"/>
          <w:sz w:val="22"/>
          <w:szCs w:val="22"/>
          <w:lang w:val="en-GB"/>
        </w:rPr>
        <w:t xml:space="preserve"> and Rel-14 Voice/video enhancements. In these cases, the background was that for the case of repetitions, the optimum modulation scheme may be different than the one for single transmission. For PDSCH in </w:t>
      </w:r>
      <w:proofErr w:type="spellStart"/>
      <w:r>
        <w:rPr>
          <w:rFonts w:ascii="Times New Roman"/>
          <w:snapToGrid w:val="0"/>
          <w:kern w:val="0"/>
          <w:sz w:val="22"/>
          <w:szCs w:val="22"/>
          <w:lang w:val="en-GB"/>
        </w:rPr>
        <w:t>FeMTC</w:t>
      </w:r>
      <w:proofErr w:type="spellEnd"/>
      <w:r>
        <w:rPr>
          <w:rFonts w:ascii="Times New Roman"/>
          <w:snapToGrid w:val="0"/>
          <w:kern w:val="0"/>
          <w:sz w:val="22"/>
          <w:szCs w:val="22"/>
          <w:lang w:val="en-GB"/>
        </w:rPr>
        <w:t xml:space="preserve">, the solution was to always use QPSK for the case of R&gt;1 (which is similar to our Solution 1). For PUSCH in </w:t>
      </w:r>
      <w:proofErr w:type="spellStart"/>
      <w:r>
        <w:rPr>
          <w:rFonts w:ascii="Times New Roman"/>
          <w:snapToGrid w:val="0"/>
          <w:kern w:val="0"/>
          <w:sz w:val="22"/>
          <w:szCs w:val="22"/>
          <w:lang w:val="en-GB"/>
        </w:rPr>
        <w:t>FeMTC</w:t>
      </w:r>
      <w:proofErr w:type="spellEnd"/>
      <w:r>
        <w:rPr>
          <w:rFonts w:ascii="Times New Roman"/>
          <w:snapToGrid w:val="0"/>
          <w:kern w:val="0"/>
          <w:sz w:val="22"/>
          <w:szCs w:val="22"/>
          <w:lang w:val="en-GB"/>
        </w:rPr>
        <w:t xml:space="preserve"> and voice/video, a 1-bit indication in DCI was introduced to “override” the modulation scheme. The agreement in voice/video enhancements is as follows:</w:t>
      </w:r>
    </w:p>
    <w:p w14:paraId="0C5E6D33" w14:textId="77777777" w:rsidR="001612D8" w:rsidRDefault="001612D8" w:rsidP="00055462">
      <w:pPr>
        <w:rPr>
          <w:rFonts w:ascii="Times New Roman"/>
          <w:snapToGrid w:val="0"/>
          <w:kern w:val="0"/>
          <w:sz w:val="22"/>
          <w:szCs w:val="22"/>
          <w:lang w:val="en-GB"/>
        </w:rPr>
      </w:pPr>
    </w:p>
    <w:p w14:paraId="6AE8D918" w14:textId="77777777" w:rsidR="001612D8" w:rsidRPr="0096701C" w:rsidRDefault="001612D8" w:rsidP="001612D8">
      <w:pPr>
        <w:numPr>
          <w:ilvl w:val="0"/>
          <w:numId w:val="30"/>
        </w:numPr>
        <w:tabs>
          <w:tab w:val="clear" w:pos="720"/>
          <w:tab w:val="num" w:pos="1080"/>
        </w:tabs>
        <w:wordWrap/>
        <w:autoSpaceDE/>
        <w:autoSpaceDN/>
        <w:ind w:left="1080"/>
        <w:jc w:val="left"/>
        <w:rPr>
          <w:lang w:eastAsia="zh-CN"/>
        </w:rPr>
      </w:pPr>
      <w:r w:rsidRPr="0096701C">
        <w:rPr>
          <w:lang w:eastAsia="zh-CN"/>
        </w:rPr>
        <w:t>When operating in the new PUSCH enhancement mode, include an additional 1-bit field in the uplink DCI in USS to override the modulation scheme as follows:</w:t>
      </w:r>
    </w:p>
    <w:p w14:paraId="01DD54AD" w14:textId="268FC779" w:rsidR="001612D8" w:rsidRPr="006A4708" w:rsidRDefault="001612D8" w:rsidP="001612D8">
      <w:pPr>
        <w:numPr>
          <w:ilvl w:val="1"/>
          <w:numId w:val="31"/>
        </w:numPr>
        <w:tabs>
          <w:tab w:val="clear" w:pos="1440"/>
          <w:tab w:val="num" w:pos="1800"/>
        </w:tabs>
        <w:wordWrap/>
        <w:autoSpaceDE/>
        <w:autoSpaceDN/>
        <w:ind w:left="1800"/>
        <w:jc w:val="left"/>
        <w:rPr>
          <w:szCs w:val="20"/>
        </w:rPr>
      </w:pPr>
      <w:r w:rsidRPr="0096701C">
        <w:rPr>
          <w:lang w:eastAsia="zh-CN"/>
        </w:rPr>
        <w:t xml:space="preserve">If the modulation order is </w:t>
      </w:r>
      <m:oMath>
        <m:sSub>
          <m:sSubPr>
            <m:ctrlPr>
              <w:rPr>
                <w:rFonts w:ascii="Cambria Math" w:hAnsi="Cambria Math"/>
                <w:b/>
                <w:szCs w:val="22"/>
              </w:rPr>
            </m:ctrlPr>
          </m:sSubPr>
          <m:e>
            <m:r>
              <m:rPr>
                <m:sty m:val="bi"/>
              </m:rPr>
              <w:rPr>
                <w:rFonts w:ascii="Cambria Math" w:hAnsi="Cambria Math"/>
                <w:szCs w:val="22"/>
              </w:rPr>
              <m:t>Q</m:t>
            </m:r>
          </m:e>
          <m:sub>
            <m:r>
              <m:rPr>
                <m:sty m:val="bi"/>
              </m:rPr>
              <w:rPr>
                <w:rFonts w:ascii="Cambria Math" w:hAnsi="Cambria Math"/>
                <w:szCs w:val="22"/>
              </w:rPr>
              <m:t>m</m:t>
            </m:r>
          </m:sub>
        </m:sSub>
        <m:r>
          <m:rPr>
            <m:sty m:val="b"/>
          </m:rPr>
          <w:rPr>
            <w:rFonts w:ascii="Cambria Math" w:hAnsi="Cambria Math"/>
            <w:szCs w:val="22"/>
          </w:rPr>
          <m:t>=2</m:t>
        </m:r>
      </m:oMath>
      <w:r w:rsidRPr="0096701C">
        <w:rPr>
          <w:lang w:eastAsia="zh-CN"/>
        </w:rPr>
        <w:t xml:space="preserve"> , then the field is reserved</w:t>
      </w:r>
    </w:p>
    <w:p w14:paraId="23061424" w14:textId="7A6273A6" w:rsidR="001612D8" w:rsidRPr="0096701C" w:rsidRDefault="001612D8" w:rsidP="001612D8">
      <w:pPr>
        <w:numPr>
          <w:ilvl w:val="1"/>
          <w:numId w:val="31"/>
        </w:numPr>
        <w:tabs>
          <w:tab w:val="clear" w:pos="1440"/>
          <w:tab w:val="num" w:pos="1800"/>
        </w:tabs>
        <w:wordWrap/>
        <w:autoSpaceDE/>
        <w:autoSpaceDN/>
        <w:ind w:left="1800"/>
        <w:jc w:val="left"/>
        <w:rPr>
          <w:lang w:eastAsia="zh-CN"/>
        </w:rPr>
      </w:pPr>
      <w:r w:rsidRPr="0096701C">
        <w:rPr>
          <w:lang w:eastAsia="zh-CN"/>
        </w:rPr>
        <w:t xml:space="preserve">If the modulation is greater than 2 and the bit is set to be true, then override the modulation order with </w:t>
      </w:r>
      <m:oMath>
        <m:sSub>
          <m:sSubPr>
            <m:ctrlPr>
              <w:rPr>
                <w:rFonts w:ascii="Cambria Math" w:hAnsi="Cambria Math"/>
                <w:b/>
                <w:szCs w:val="22"/>
              </w:rPr>
            </m:ctrlPr>
          </m:sSubPr>
          <m:e>
            <m:r>
              <m:rPr>
                <m:sty m:val="bi"/>
              </m:rPr>
              <w:rPr>
                <w:rFonts w:ascii="Cambria Math" w:hAnsi="Cambria Math"/>
                <w:szCs w:val="22"/>
              </w:rPr>
              <m:t>Q</m:t>
            </m:r>
          </m:e>
          <m:sub>
            <m:r>
              <m:rPr>
                <m:sty m:val="bi"/>
              </m:rPr>
              <w:rPr>
                <w:rFonts w:ascii="Cambria Math" w:hAnsi="Cambria Math"/>
                <w:szCs w:val="22"/>
              </w:rPr>
              <m:t>m</m:t>
            </m:r>
          </m:sub>
        </m:sSub>
        <m:r>
          <m:rPr>
            <m:sty m:val="b"/>
          </m:rPr>
          <w:rPr>
            <w:rFonts w:ascii="Cambria Math" w:hAnsi="Cambria Math"/>
            <w:szCs w:val="22"/>
          </w:rPr>
          <m:t>-2</m:t>
        </m:r>
      </m:oMath>
      <w:r w:rsidRPr="0096701C">
        <w:rPr>
          <w:lang w:eastAsia="zh-CN"/>
        </w:rPr>
        <w:t xml:space="preserve">(i.e., 16-QAM </w:t>
      </w:r>
      <w:r w:rsidRPr="006A4708">
        <w:rPr>
          <w:lang w:eastAsia="zh-CN"/>
        </w:rPr>
        <w:sym w:font="Wingdings" w:char="F0E8"/>
      </w:r>
      <w:r w:rsidRPr="0096701C">
        <w:rPr>
          <w:lang w:eastAsia="zh-CN"/>
        </w:rPr>
        <w:t>QPSK, 64-QAM</w:t>
      </w:r>
      <w:r w:rsidRPr="006A4708">
        <w:rPr>
          <w:lang w:eastAsia="zh-CN"/>
        </w:rPr>
        <w:sym w:font="Wingdings" w:char="F0E8"/>
      </w:r>
      <w:r w:rsidRPr="0096701C">
        <w:rPr>
          <w:lang w:eastAsia="zh-CN"/>
        </w:rPr>
        <w:t>16-QAM, 256-QAM</w:t>
      </w:r>
      <w:r w:rsidRPr="006A4708">
        <w:rPr>
          <w:lang w:eastAsia="zh-CN"/>
        </w:rPr>
        <w:sym w:font="Wingdings" w:char="F0E8"/>
      </w:r>
      <w:r w:rsidRPr="0096701C">
        <w:rPr>
          <w:lang w:eastAsia="zh-CN"/>
        </w:rPr>
        <w:t>64-QAM)</w:t>
      </w:r>
    </w:p>
    <w:p w14:paraId="690D4776" w14:textId="77777777" w:rsidR="001612D8" w:rsidRPr="001612D8" w:rsidRDefault="001612D8" w:rsidP="00055462">
      <w:pPr>
        <w:rPr>
          <w:rFonts w:ascii="Times New Roman"/>
          <w:snapToGrid w:val="0"/>
          <w:kern w:val="0"/>
          <w:sz w:val="22"/>
          <w:szCs w:val="22"/>
        </w:rPr>
      </w:pPr>
    </w:p>
    <w:p w14:paraId="0257A416" w14:textId="572F7560" w:rsidR="001612D8" w:rsidRDefault="001612D8" w:rsidP="00055462">
      <w:pPr>
        <w:rPr>
          <w:lang w:val="en-GB" w:eastAsia="en-US"/>
        </w:rPr>
      </w:pPr>
    </w:p>
    <w:p w14:paraId="3122CBFF" w14:textId="22070CAA" w:rsidR="001612D8" w:rsidRDefault="001612D8" w:rsidP="001612D8">
      <w:pPr>
        <w:rPr>
          <w:rFonts w:ascii="Times New Roman"/>
          <w:snapToGrid w:val="0"/>
          <w:kern w:val="0"/>
          <w:sz w:val="22"/>
          <w:szCs w:val="22"/>
          <w:lang w:val="en-GB"/>
        </w:rPr>
      </w:pPr>
      <w:r>
        <w:rPr>
          <w:rFonts w:ascii="Times New Roman"/>
          <w:snapToGrid w:val="0"/>
          <w:kern w:val="0"/>
          <w:sz w:val="22"/>
          <w:szCs w:val="22"/>
          <w:lang w:val="en-GB"/>
        </w:rPr>
        <w:t xml:space="preserve">In our case the solution is a bit more complicated, since for some scenarios the optimum modulation scheme would be higher than the “default” modulation scheme (e.g. move QPSK to 16QAM), and in some other cases it may be lower (e.g. move 256QAM to 64QAM). Thus, we propose a slight modification of this </w:t>
      </w:r>
      <w:r>
        <w:rPr>
          <w:rFonts w:ascii="Times New Roman"/>
          <w:snapToGrid w:val="0"/>
          <w:kern w:val="0"/>
          <w:sz w:val="22"/>
          <w:szCs w:val="22"/>
          <w:lang w:val="en-GB"/>
        </w:rPr>
        <w:lastRenderedPageBreak/>
        <w:t>method that allows to increase or decrease the modulation scheme depending on the MCS as follows:</w:t>
      </w:r>
    </w:p>
    <w:p w14:paraId="0BCC4AFF" w14:textId="7036C12F" w:rsidR="001612D8" w:rsidRDefault="001612D8" w:rsidP="001612D8">
      <w:pPr>
        <w:rPr>
          <w:rFonts w:ascii="Times New Roman"/>
          <w:snapToGrid w:val="0"/>
          <w:kern w:val="0"/>
          <w:sz w:val="22"/>
          <w:szCs w:val="22"/>
          <w:lang w:val="en-GB"/>
        </w:rPr>
      </w:pPr>
    </w:p>
    <w:p w14:paraId="7F9E0A27" w14:textId="152DC5CA" w:rsidR="001612D8" w:rsidRDefault="001612D8" w:rsidP="001612D8">
      <w:pPr>
        <w:pStyle w:val="ListParagraph"/>
        <w:numPr>
          <w:ilvl w:val="0"/>
          <w:numId w:val="32"/>
        </w:numPr>
        <w:ind w:leftChars="0"/>
        <w:rPr>
          <w:rFonts w:ascii="Times New Roman"/>
          <w:snapToGrid w:val="0"/>
          <w:sz w:val="22"/>
          <w:szCs w:val="22"/>
          <w:lang w:val="en-GB"/>
        </w:rPr>
      </w:pPr>
      <w:r>
        <w:rPr>
          <w:rFonts w:ascii="Times New Roman"/>
          <w:snapToGrid w:val="0"/>
          <w:sz w:val="22"/>
          <w:szCs w:val="22"/>
          <w:lang w:val="en-GB"/>
        </w:rPr>
        <w:t xml:space="preserve">In the MCS table, add one additional column that indicates whether the </w:t>
      </w:r>
      <w:r>
        <w:rPr>
          <w:rFonts w:ascii="Times New Roman"/>
          <w:snapToGrid w:val="0"/>
          <w:sz w:val="22"/>
          <w:szCs w:val="22"/>
          <w:lang w:val="en-GB"/>
        </w:rPr>
        <w:t>“</w:t>
      </w:r>
      <w:r>
        <w:rPr>
          <w:rFonts w:ascii="Times New Roman"/>
          <w:snapToGrid w:val="0"/>
          <w:sz w:val="22"/>
          <w:szCs w:val="22"/>
          <w:lang w:val="en-GB"/>
        </w:rPr>
        <w:t>modulation overriding</w:t>
      </w:r>
      <w:r>
        <w:rPr>
          <w:rFonts w:ascii="Times New Roman"/>
          <w:snapToGrid w:val="0"/>
          <w:sz w:val="22"/>
          <w:szCs w:val="22"/>
          <w:lang w:val="en-GB"/>
        </w:rPr>
        <w:t>”</w:t>
      </w:r>
      <w:r>
        <w:rPr>
          <w:rFonts w:ascii="Times New Roman"/>
          <w:snapToGrid w:val="0"/>
          <w:sz w:val="22"/>
          <w:szCs w:val="22"/>
          <w:lang w:val="en-GB"/>
        </w:rPr>
        <w:t xml:space="preserve"> indicates </w:t>
      </w:r>
      <w:r>
        <w:rPr>
          <w:rFonts w:ascii="Times New Roman"/>
          <w:snapToGrid w:val="0"/>
          <w:sz w:val="22"/>
          <w:szCs w:val="22"/>
          <w:lang w:val="en-GB"/>
        </w:rPr>
        <w:t>“</w:t>
      </w:r>
      <w:r>
        <w:rPr>
          <w:rFonts w:ascii="Times New Roman"/>
          <w:snapToGrid w:val="0"/>
          <w:sz w:val="22"/>
          <w:szCs w:val="22"/>
          <w:lang w:val="en-GB"/>
        </w:rPr>
        <w:t>increase</w:t>
      </w:r>
      <w:r>
        <w:rPr>
          <w:rFonts w:ascii="Times New Roman"/>
          <w:snapToGrid w:val="0"/>
          <w:sz w:val="22"/>
          <w:szCs w:val="22"/>
          <w:lang w:val="en-GB"/>
        </w:rPr>
        <w:t>”</w:t>
      </w:r>
      <w:r>
        <w:rPr>
          <w:rFonts w:ascii="Times New Roman"/>
          <w:snapToGrid w:val="0"/>
          <w:sz w:val="22"/>
          <w:szCs w:val="22"/>
          <w:lang w:val="en-GB"/>
        </w:rPr>
        <w:t xml:space="preserve"> or </w:t>
      </w:r>
      <w:r>
        <w:rPr>
          <w:rFonts w:ascii="Times New Roman"/>
          <w:snapToGrid w:val="0"/>
          <w:sz w:val="22"/>
          <w:szCs w:val="22"/>
          <w:lang w:val="en-GB"/>
        </w:rPr>
        <w:t>“</w:t>
      </w:r>
      <w:r>
        <w:rPr>
          <w:rFonts w:ascii="Times New Roman"/>
          <w:snapToGrid w:val="0"/>
          <w:sz w:val="22"/>
          <w:szCs w:val="22"/>
          <w:lang w:val="en-GB"/>
        </w:rPr>
        <w:t>decrease</w:t>
      </w:r>
      <w:r>
        <w:rPr>
          <w:rFonts w:ascii="Times New Roman"/>
          <w:snapToGrid w:val="0"/>
          <w:sz w:val="22"/>
          <w:szCs w:val="22"/>
          <w:lang w:val="en-GB"/>
        </w:rPr>
        <w:t>”</w:t>
      </w:r>
      <w:r w:rsidR="001206A5">
        <w:rPr>
          <w:rFonts w:ascii="Times New Roman"/>
          <w:snapToGrid w:val="0"/>
          <w:sz w:val="22"/>
          <w:szCs w:val="22"/>
          <w:lang w:val="en-GB"/>
        </w:rPr>
        <w:t>.</w:t>
      </w:r>
    </w:p>
    <w:p w14:paraId="430D880B" w14:textId="1A3EFF50" w:rsidR="001612D8" w:rsidRDefault="001612D8" w:rsidP="001612D8">
      <w:pPr>
        <w:pStyle w:val="ListParagraph"/>
        <w:numPr>
          <w:ilvl w:val="0"/>
          <w:numId w:val="32"/>
        </w:numPr>
        <w:ind w:leftChars="0"/>
        <w:rPr>
          <w:rFonts w:ascii="Times New Roman"/>
          <w:snapToGrid w:val="0"/>
          <w:sz w:val="22"/>
          <w:szCs w:val="22"/>
          <w:lang w:val="en-GB"/>
        </w:rPr>
      </w:pPr>
      <w:r>
        <w:rPr>
          <w:rFonts w:ascii="Times New Roman"/>
          <w:snapToGrid w:val="0"/>
          <w:sz w:val="22"/>
          <w:szCs w:val="22"/>
          <w:lang w:val="en-GB"/>
        </w:rPr>
        <w:t>The bit in the DCI is interpreted as follows:</w:t>
      </w:r>
    </w:p>
    <w:p w14:paraId="7DD565AB" w14:textId="7C1D525A" w:rsidR="001612D8" w:rsidRDefault="001612D8" w:rsidP="001612D8">
      <w:pPr>
        <w:pStyle w:val="ListParagraph"/>
        <w:numPr>
          <w:ilvl w:val="1"/>
          <w:numId w:val="32"/>
        </w:numPr>
        <w:ind w:leftChars="0"/>
        <w:rPr>
          <w:rFonts w:ascii="Times New Roman"/>
          <w:snapToGrid w:val="0"/>
          <w:sz w:val="22"/>
          <w:szCs w:val="22"/>
          <w:lang w:val="en-GB"/>
        </w:rPr>
      </w:pPr>
      <w:r>
        <w:rPr>
          <w:rFonts w:ascii="Times New Roman"/>
          <w:snapToGrid w:val="0"/>
          <w:sz w:val="22"/>
          <w:szCs w:val="22"/>
          <w:lang w:val="en-GB"/>
        </w:rPr>
        <w:t>If bit =0, keep the modulation scheme in the MCS table</w:t>
      </w:r>
    </w:p>
    <w:p w14:paraId="0BED5177" w14:textId="6CBA528D" w:rsidR="001612D8" w:rsidRDefault="001612D8" w:rsidP="001612D8">
      <w:pPr>
        <w:pStyle w:val="ListParagraph"/>
        <w:numPr>
          <w:ilvl w:val="1"/>
          <w:numId w:val="32"/>
        </w:numPr>
        <w:ind w:leftChars="0"/>
        <w:rPr>
          <w:rFonts w:ascii="Times New Roman"/>
          <w:snapToGrid w:val="0"/>
          <w:sz w:val="22"/>
          <w:szCs w:val="22"/>
          <w:lang w:val="en-GB"/>
        </w:rPr>
      </w:pPr>
      <w:r>
        <w:rPr>
          <w:rFonts w:ascii="Times New Roman"/>
          <w:snapToGrid w:val="0"/>
          <w:sz w:val="22"/>
          <w:szCs w:val="22"/>
          <w:lang w:val="en-GB"/>
        </w:rPr>
        <w:t>If bit=1, increase or decrease the modulation scheme according to the entry in the MCS table.</w:t>
      </w:r>
    </w:p>
    <w:p w14:paraId="42FDD745" w14:textId="18154D80" w:rsidR="001612D8" w:rsidRDefault="001612D8" w:rsidP="001612D8">
      <w:pPr>
        <w:rPr>
          <w:rFonts w:ascii="Times New Roman"/>
          <w:snapToGrid w:val="0"/>
          <w:sz w:val="22"/>
          <w:szCs w:val="22"/>
          <w:lang w:val="en-GB"/>
        </w:rPr>
      </w:pPr>
    </w:p>
    <w:p w14:paraId="044AEE29" w14:textId="70F7450D" w:rsidR="001612D8" w:rsidRDefault="001612D8" w:rsidP="001612D8">
      <w:pPr>
        <w:rPr>
          <w:rFonts w:ascii="Times New Roman"/>
          <w:snapToGrid w:val="0"/>
          <w:sz w:val="22"/>
          <w:szCs w:val="22"/>
          <w:lang w:val="en-GB"/>
        </w:rPr>
      </w:pPr>
      <w:r>
        <w:rPr>
          <w:rFonts w:ascii="Times New Roman"/>
          <w:snapToGrid w:val="0"/>
          <w:sz w:val="22"/>
          <w:szCs w:val="22"/>
          <w:lang w:val="en-GB"/>
        </w:rPr>
        <w:t>An example of step 1) is shown in Table 1, where the 256QAM table is modified to include this new indicator. Note that the adjustment is set to “increase” right before a “default modulation order” increase, and to “decrease” right after.</w:t>
      </w:r>
    </w:p>
    <w:p w14:paraId="0BECE1DA" w14:textId="0FC9D7B3" w:rsidR="001612D8" w:rsidRDefault="001612D8" w:rsidP="001612D8">
      <w:pPr>
        <w:rPr>
          <w:rFonts w:ascii="Times New Roman"/>
          <w:snapToGrid w:val="0"/>
          <w:sz w:val="22"/>
          <w:szCs w:val="22"/>
          <w:lang w:val="en-GB"/>
        </w:rPr>
      </w:pPr>
    </w:p>
    <w:p w14:paraId="4D649A16" w14:textId="091E0049" w:rsidR="001612D8" w:rsidRDefault="001612D8" w:rsidP="001612D8">
      <w:pPr>
        <w:rPr>
          <w:rFonts w:ascii="Times New Roman"/>
          <w:snapToGrid w:val="0"/>
          <w:sz w:val="22"/>
          <w:szCs w:val="22"/>
          <w:lang w:val="en-GB"/>
        </w:rPr>
      </w:pPr>
      <w:r>
        <w:rPr>
          <w:rFonts w:ascii="Times New Roman"/>
          <w:snapToGrid w:val="0"/>
          <w:sz w:val="22"/>
          <w:szCs w:val="22"/>
          <w:lang w:val="en-GB"/>
        </w:rPr>
        <w:t xml:space="preserve">This second solution has the disadvantage of higher overhead (1 additional bit in DCI), but offers the advantage of network flexibility, e.g. the </w:t>
      </w:r>
      <w:proofErr w:type="spellStart"/>
      <w:r>
        <w:rPr>
          <w:rFonts w:ascii="Times New Roman"/>
          <w:snapToGrid w:val="0"/>
          <w:sz w:val="22"/>
          <w:szCs w:val="22"/>
          <w:lang w:val="en-GB"/>
        </w:rPr>
        <w:t>eNB</w:t>
      </w:r>
      <w:proofErr w:type="spellEnd"/>
      <w:r>
        <w:rPr>
          <w:rFonts w:ascii="Times New Roman"/>
          <w:snapToGrid w:val="0"/>
          <w:sz w:val="22"/>
          <w:szCs w:val="22"/>
          <w:lang w:val="en-GB"/>
        </w:rPr>
        <w:t xml:space="preserve"> can pick the modulation scheme depending on other factors such as observed delay spread (which may also affect the optimum modulation scheme) or presence of signals that puncture the PDSCH (of which the UE may not be aware of).</w:t>
      </w:r>
    </w:p>
    <w:p w14:paraId="5EFDB0CE" w14:textId="77777777" w:rsidR="001612D8" w:rsidRDefault="001612D8" w:rsidP="001612D8">
      <w:pPr>
        <w:rPr>
          <w:rFonts w:ascii="Times New Roman"/>
          <w:snapToGrid w:val="0"/>
          <w:sz w:val="22"/>
          <w:szCs w:val="22"/>
          <w:lang w:val="en-GB"/>
        </w:rPr>
      </w:pPr>
    </w:p>
    <w:p w14:paraId="132357C9" w14:textId="77777777" w:rsidR="001612D8" w:rsidRDefault="001612D8" w:rsidP="001612D8">
      <w:pPr>
        <w:rPr>
          <w:rFonts w:ascii="Times New Roman"/>
          <w:snapToGrid w:val="0"/>
          <w:sz w:val="22"/>
          <w:szCs w:val="22"/>
          <w:lang w:val="en-GB"/>
        </w:rPr>
      </w:pPr>
    </w:p>
    <w:p w14:paraId="71F181FA" w14:textId="5E1DA85A" w:rsidR="001612D8" w:rsidRDefault="001612D8" w:rsidP="001612D8">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Example of MCS/TBS table with modulation adjustment</w:t>
      </w:r>
    </w:p>
    <w:tbl>
      <w:tblPr>
        <w:tblStyle w:val="TableGrid"/>
        <w:tblW w:w="0" w:type="auto"/>
        <w:jc w:val="center"/>
        <w:tblLook w:val="01E0" w:firstRow="1" w:lastRow="1" w:firstColumn="1" w:lastColumn="1" w:noHBand="0" w:noVBand="0"/>
      </w:tblPr>
      <w:tblGrid>
        <w:gridCol w:w="1003"/>
        <w:gridCol w:w="1483"/>
        <w:gridCol w:w="2294"/>
        <w:gridCol w:w="950"/>
      </w:tblGrid>
      <w:tr w:rsidR="001612D8" w:rsidRPr="001612D8" w14:paraId="42E47664" w14:textId="77777777" w:rsidTr="001612D8">
        <w:trPr>
          <w:trHeight w:val="437"/>
          <w:jc w:val="center"/>
        </w:trPr>
        <w:tc>
          <w:tcPr>
            <w:tcW w:w="0" w:type="auto"/>
            <w:hideMark/>
          </w:tcPr>
          <w:p w14:paraId="5CF8E933"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rPr>
              <w:t>MCS Index</w:t>
            </w:r>
          </w:p>
        </w:tc>
        <w:tc>
          <w:tcPr>
            <w:tcW w:w="0" w:type="auto"/>
            <w:hideMark/>
          </w:tcPr>
          <w:p w14:paraId="54172CF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rPr>
              <w:t>Modulation Order</w:t>
            </w:r>
          </w:p>
        </w:tc>
        <w:tc>
          <w:tcPr>
            <w:tcW w:w="0" w:type="auto"/>
            <w:hideMark/>
          </w:tcPr>
          <w:p w14:paraId="18248E4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rPr>
              <w:t>Modulation Order adjustment</w:t>
            </w:r>
          </w:p>
        </w:tc>
        <w:tc>
          <w:tcPr>
            <w:tcW w:w="0" w:type="auto"/>
            <w:hideMark/>
          </w:tcPr>
          <w:p w14:paraId="4D72A9AF"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rPr>
              <w:t>TBS Index</w:t>
            </w:r>
          </w:p>
        </w:tc>
      </w:tr>
      <w:tr w:rsidR="001612D8" w:rsidRPr="001612D8" w14:paraId="329038AA" w14:textId="77777777" w:rsidTr="001612D8">
        <w:trPr>
          <w:trHeight w:val="229"/>
          <w:jc w:val="center"/>
        </w:trPr>
        <w:tc>
          <w:tcPr>
            <w:tcW w:w="0" w:type="auto"/>
            <w:hideMark/>
          </w:tcPr>
          <w:p w14:paraId="519EAFAC"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rPr>
              <w:t>0</w:t>
            </w:r>
          </w:p>
        </w:tc>
        <w:tc>
          <w:tcPr>
            <w:tcW w:w="0" w:type="auto"/>
            <w:hideMark/>
          </w:tcPr>
          <w:p w14:paraId="4FC62F0D"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2 </w:t>
            </w:r>
          </w:p>
        </w:tc>
        <w:tc>
          <w:tcPr>
            <w:tcW w:w="0" w:type="auto"/>
            <w:hideMark/>
          </w:tcPr>
          <w:p w14:paraId="0107F033"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28968C47"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0 </w:t>
            </w:r>
          </w:p>
        </w:tc>
      </w:tr>
      <w:tr w:rsidR="001612D8" w:rsidRPr="001612D8" w14:paraId="7DBF413B" w14:textId="77777777" w:rsidTr="001612D8">
        <w:trPr>
          <w:trHeight w:val="229"/>
          <w:jc w:val="center"/>
        </w:trPr>
        <w:tc>
          <w:tcPr>
            <w:tcW w:w="0" w:type="auto"/>
            <w:hideMark/>
          </w:tcPr>
          <w:p w14:paraId="61DAB1ED"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rPr>
              <w:t>1</w:t>
            </w:r>
          </w:p>
        </w:tc>
        <w:tc>
          <w:tcPr>
            <w:tcW w:w="0" w:type="auto"/>
            <w:hideMark/>
          </w:tcPr>
          <w:p w14:paraId="1DE8C354"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2 </w:t>
            </w:r>
          </w:p>
        </w:tc>
        <w:tc>
          <w:tcPr>
            <w:tcW w:w="0" w:type="auto"/>
            <w:hideMark/>
          </w:tcPr>
          <w:p w14:paraId="059A30CE"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074F06A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 </w:t>
            </w:r>
          </w:p>
        </w:tc>
      </w:tr>
      <w:tr w:rsidR="001612D8" w:rsidRPr="001612D8" w14:paraId="6DFB1B38" w14:textId="77777777" w:rsidTr="001612D8">
        <w:trPr>
          <w:trHeight w:val="229"/>
          <w:jc w:val="center"/>
        </w:trPr>
        <w:tc>
          <w:tcPr>
            <w:tcW w:w="0" w:type="auto"/>
            <w:hideMark/>
          </w:tcPr>
          <w:p w14:paraId="2D366B5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w:t>
            </w:r>
          </w:p>
        </w:tc>
        <w:tc>
          <w:tcPr>
            <w:tcW w:w="0" w:type="auto"/>
            <w:hideMark/>
          </w:tcPr>
          <w:p w14:paraId="1BC0F300"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2 </w:t>
            </w:r>
          </w:p>
        </w:tc>
        <w:tc>
          <w:tcPr>
            <w:tcW w:w="0" w:type="auto"/>
            <w:hideMark/>
          </w:tcPr>
          <w:p w14:paraId="54370D48"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5F056B88"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4 </w:t>
            </w:r>
          </w:p>
        </w:tc>
      </w:tr>
      <w:tr w:rsidR="001612D8" w:rsidRPr="001612D8" w14:paraId="1C6EFB0F" w14:textId="77777777" w:rsidTr="001612D8">
        <w:trPr>
          <w:trHeight w:val="229"/>
          <w:jc w:val="center"/>
        </w:trPr>
        <w:tc>
          <w:tcPr>
            <w:tcW w:w="0" w:type="auto"/>
            <w:hideMark/>
          </w:tcPr>
          <w:p w14:paraId="555012E0"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3</w:t>
            </w:r>
          </w:p>
        </w:tc>
        <w:tc>
          <w:tcPr>
            <w:tcW w:w="0" w:type="auto"/>
            <w:hideMark/>
          </w:tcPr>
          <w:p w14:paraId="7BF10BFD"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2 </w:t>
            </w:r>
          </w:p>
        </w:tc>
        <w:tc>
          <w:tcPr>
            <w:tcW w:w="0" w:type="auto"/>
            <w:hideMark/>
          </w:tcPr>
          <w:p w14:paraId="6965E956"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05B56EF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6 </w:t>
            </w:r>
          </w:p>
        </w:tc>
      </w:tr>
      <w:tr w:rsidR="001612D8" w:rsidRPr="001612D8" w14:paraId="7D14C702" w14:textId="77777777" w:rsidTr="001612D8">
        <w:trPr>
          <w:trHeight w:val="229"/>
          <w:jc w:val="center"/>
        </w:trPr>
        <w:tc>
          <w:tcPr>
            <w:tcW w:w="0" w:type="auto"/>
            <w:hideMark/>
          </w:tcPr>
          <w:p w14:paraId="68A2358E"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4</w:t>
            </w:r>
          </w:p>
        </w:tc>
        <w:tc>
          <w:tcPr>
            <w:tcW w:w="0" w:type="auto"/>
            <w:hideMark/>
          </w:tcPr>
          <w:p w14:paraId="31ED70E3"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2 </w:t>
            </w:r>
          </w:p>
        </w:tc>
        <w:tc>
          <w:tcPr>
            <w:tcW w:w="0" w:type="auto"/>
            <w:hideMark/>
          </w:tcPr>
          <w:p w14:paraId="7D10884E"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7E4A225A"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8 </w:t>
            </w:r>
          </w:p>
        </w:tc>
      </w:tr>
      <w:tr w:rsidR="001612D8" w:rsidRPr="001612D8" w14:paraId="030F4F16" w14:textId="77777777" w:rsidTr="001612D8">
        <w:trPr>
          <w:trHeight w:val="229"/>
          <w:jc w:val="center"/>
        </w:trPr>
        <w:tc>
          <w:tcPr>
            <w:tcW w:w="0" w:type="auto"/>
            <w:hideMark/>
          </w:tcPr>
          <w:p w14:paraId="2123A2B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5</w:t>
            </w:r>
          </w:p>
        </w:tc>
        <w:tc>
          <w:tcPr>
            <w:tcW w:w="0" w:type="auto"/>
            <w:hideMark/>
          </w:tcPr>
          <w:p w14:paraId="6F264495"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2A21FCDE"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74EEAA7C"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10 </w:t>
            </w:r>
          </w:p>
        </w:tc>
      </w:tr>
      <w:tr w:rsidR="001612D8" w:rsidRPr="001612D8" w14:paraId="6A943362" w14:textId="77777777" w:rsidTr="001612D8">
        <w:trPr>
          <w:trHeight w:val="229"/>
          <w:jc w:val="center"/>
        </w:trPr>
        <w:tc>
          <w:tcPr>
            <w:tcW w:w="0" w:type="auto"/>
            <w:hideMark/>
          </w:tcPr>
          <w:p w14:paraId="7D59B22A"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6</w:t>
            </w:r>
          </w:p>
        </w:tc>
        <w:tc>
          <w:tcPr>
            <w:tcW w:w="0" w:type="auto"/>
            <w:hideMark/>
          </w:tcPr>
          <w:p w14:paraId="7514F7C8"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4072B49C"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0B878F61"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11 </w:t>
            </w:r>
          </w:p>
        </w:tc>
      </w:tr>
      <w:tr w:rsidR="001612D8" w:rsidRPr="001612D8" w14:paraId="1C8B53D7" w14:textId="77777777" w:rsidTr="001612D8">
        <w:trPr>
          <w:trHeight w:val="229"/>
          <w:jc w:val="center"/>
        </w:trPr>
        <w:tc>
          <w:tcPr>
            <w:tcW w:w="0" w:type="auto"/>
            <w:hideMark/>
          </w:tcPr>
          <w:p w14:paraId="52842AD1"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7</w:t>
            </w:r>
          </w:p>
        </w:tc>
        <w:tc>
          <w:tcPr>
            <w:tcW w:w="0" w:type="auto"/>
            <w:hideMark/>
          </w:tcPr>
          <w:p w14:paraId="336B6333"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39C97C1C"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01AB1D2F"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12 </w:t>
            </w:r>
          </w:p>
        </w:tc>
      </w:tr>
      <w:tr w:rsidR="001612D8" w:rsidRPr="001612D8" w14:paraId="57B5C972" w14:textId="77777777" w:rsidTr="001612D8">
        <w:trPr>
          <w:trHeight w:val="229"/>
          <w:jc w:val="center"/>
        </w:trPr>
        <w:tc>
          <w:tcPr>
            <w:tcW w:w="0" w:type="auto"/>
            <w:hideMark/>
          </w:tcPr>
          <w:p w14:paraId="281C28B0"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8</w:t>
            </w:r>
          </w:p>
        </w:tc>
        <w:tc>
          <w:tcPr>
            <w:tcW w:w="0" w:type="auto"/>
            <w:hideMark/>
          </w:tcPr>
          <w:p w14:paraId="5B51C0A7"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6A58A2E7"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656E68C2"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13 </w:t>
            </w:r>
          </w:p>
        </w:tc>
      </w:tr>
      <w:tr w:rsidR="001612D8" w:rsidRPr="001612D8" w14:paraId="4FFC5D5F" w14:textId="77777777" w:rsidTr="001612D8">
        <w:trPr>
          <w:trHeight w:val="229"/>
          <w:jc w:val="center"/>
        </w:trPr>
        <w:tc>
          <w:tcPr>
            <w:tcW w:w="0" w:type="auto"/>
            <w:hideMark/>
          </w:tcPr>
          <w:p w14:paraId="73FDF4A0"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9</w:t>
            </w:r>
          </w:p>
        </w:tc>
        <w:tc>
          <w:tcPr>
            <w:tcW w:w="0" w:type="auto"/>
            <w:hideMark/>
          </w:tcPr>
          <w:p w14:paraId="709E92A3"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0E6C6271"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6F0939D4"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14 </w:t>
            </w:r>
          </w:p>
        </w:tc>
      </w:tr>
      <w:tr w:rsidR="001612D8" w:rsidRPr="001612D8" w14:paraId="49642A7A" w14:textId="77777777" w:rsidTr="001612D8">
        <w:trPr>
          <w:trHeight w:val="229"/>
          <w:jc w:val="center"/>
        </w:trPr>
        <w:tc>
          <w:tcPr>
            <w:tcW w:w="0" w:type="auto"/>
            <w:hideMark/>
          </w:tcPr>
          <w:p w14:paraId="1F96D9F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10</w:t>
            </w:r>
          </w:p>
        </w:tc>
        <w:tc>
          <w:tcPr>
            <w:tcW w:w="0" w:type="auto"/>
            <w:hideMark/>
          </w:tcPr>
          <w:p w14:paraId="79345AAD"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68879468"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345559D6"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15 </w:t>
            </w:r>
          </w:p>
        </w:tc>
      </w:tr>
      <w:tr w:rsidR="001612D8" w:rsidRPr="001612D8" w14:paraId="3B0AF16B" w14:textId="77777777" w:rsidTr="001612D8">
        <w:trPr>
          <w:trHeight w:val="229"/>
          <w:jc w:val="center"/>
        </w:trPr>
        <w:tc>
          <w:tcPr>
            <w:tcW w:w="0" w:type="auto"/>
            <w:hideMark/>
          </w:tcPr>
          <w:p w14:paraId="22BE6BF4"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11</w:t>
            </w:r>
          </w:p>
        </w:tc>
        <w:tc>
          <w:tcPr>
            <w:tcW w:w="0" w:type="auto"/>
            <w:hideMark/>
          </w:tcPr>
          <w:p w14:paraId="7E403D1D"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01757AB3"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12F0CD91"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16 </w:t>
            </w:r>
          </w:p>
        </w:tc>
      </w:tr>
      <w:tr w:rsidR="001612D8" w:rsidRPr="001612D8" w14:paraId="058A9169" w14:textId="77777777" w:rsidTr="001612D8">
        <w:trPr>
          <w:trHeight w:val="229"/>
          <w:jc w:val="center"/>
        </w:trPr>
        <w:tc>
          <w:tcPr>
            <w:tcW w:w="0" w:type="auto"/>
            <w:hideMark/>
          </w:tcPr>
          <w:p w14:paraId="2DDC6EA0"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12</w:t>
            </w:r>
          </w:p>
        </w:tc>
        <w:tc>
          <w:tcPr>
            <w:tcW w:w="0" w:type="auto"/>
            <w:hideMark/>
          </w:tcPr>
          <w:p w14:paraId="7C8CBCB3"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3E30114B"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5514443C"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17 </w:t>
            </w:r>
          </w:p>
        </w:tc>
      </w:tr>
      <w:tr w:rsidR="001612D8" w:rsidRPr="001612D8" w14:paraId="4FB71A2B" w14:textId="77777777" w:rsidTr="001612D8">
        <w:trPr>
          <w:trHeight w:val="229"/>
          <w:jc w:val="center"/>
        </w:trPr>
        <w:tc>
          <w:tcPr>
            <w:tcW w:w="0" w:type="auto"/>
            <w:hideMark/>
          </w:tcPr>
          <w:p w14:paraId="2FF913EE"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13</w:t>
            </w:r>
          </w:p>
        </w:tc>
        <w:tc>
          <w:tcPr>
            <w:tcW w:w="0" w:type="auto"/>
            <w:hideMark/>
          </w:tcPr>
          <w:p w14:paraId="017E6071"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68466D65"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70DFAB2F"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18 </w:t>
            </w:r>
          </w:p>
        </w:tc>
      </w:tr>
      <w:tr w:rsidR="001612D8" w:rsidRPr="001612D8" w14:paraId="225CEBB9" w14:textId="77777777" w:rsidTr="001612D8">
        <w:trPr>
          <w:trHeight w:val="229"/>
          <w:jc w:val="center"/>
        </w:trPr>
        <w:tc>
          <w:tcPr>
            <w:tcW w:w="0" w:type="auto"/>
            <w:hideMark/>
          </w:tcPr>
          <w:p w14:paraId="3E73B34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14</w:t>
            </w:r>
          </w:p>
        </w:tc>
        <w:tc>
          <w:tcPr>
            <w:tcW w:w="0" w:type="auto"/>
            <w:hideMark/>
          </w:tcPr>
          <w:p w14:paraId="77B13B20"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65362B64"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6A2B8367"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19 </w:t>
            </w:r>
          </w:p>
        </w:tc>
      </w:tr>
      <w:tr w:rsidR="001612D8" w:rsidRPr="001612D8" w14:paraId="560206CA" w14:textId="77777777" w:rsidTr="001612D8">
        <w:trPr>
          <w:trHeight w:val="229"/>
          <w:jc w:val="center"/>
        </w:trPr>
        <w:tc>
          <w:tcPr>
            <w:tcW w:w="0" w:type="auto"/>
            <w:hideMark/>
          </w:tcPr>
          <w:p w14:paraId="61CBE1DC"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15</w:t>
            </w:r>
          </w:p>
        </w:tc>
        <w:tc>
          <w:tcPr>
            <w:tcW w:w="0" w:type="auto"/>
            <w:hideMark/>
          </w:tcPr>
          <w:p w14:paraId="65A4A3F7"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78331BE9"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5BC2AA0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20 </w:t>
            </w:r>
          </w:p>
        </w:tc>
      </w:tr>
      <w:tr w:rsidR="001612D8" w:rsidRPr="001612D8" w14:paraId="607A1DEB" w14:textId="77777777" w:rsidTr="001612D8">
        <w:trPr>
          <w:trHeight w:val="229"/>
          <w:jc w:val="center"/>
        </w:trPr>
        <w:tc>
          <w:tcPr>
            <w:tcW w:w="0" w:type="auto"/>
            <w:hideMark/>
          </w:tcPr>
          <w:p w14:paraId="26CB6653"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16</w:t>
            </w:r>
          </w:p>
        </w:tc>
        <w:tc>
          <w:tcPr>
            <w:tcW w:w="0" w:type="auto"/>
            <w:hideMark/>
          </w:tcPr>
          <w:p w14:paraId="64214A0E"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6C22D4FF"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0F5239A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21 </w:t>
            </w:r>
          </w:p>
        </w:tc>
      </w:tr>
      <w:tr w:rsidR="001612D8" w:rsidRPr="001612D8" w14:paraId="7776B7AC" w14:textId="77777777" w:rsidTr="001612D8">
        <w:trPr>
          <w:trHeight w:val="229"/>
          <w:jc w:val="center"/>
        </w:trPr>
        <w:tc>
          <w:tcPr>
            <w:tcW w:w="0" w:type="auto"/>
            <w:hideMark/>
          </w:tcPr>
          <w:p w14:paraId="47DABC4D"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17</w:t>
            </w:r>
          </w:p>
        </w:tc>
        <w:tc>
          <w:tcPr>
            <w:tcW w:w="0" w:type="auto"/>
            <w:hideMark/>
          </w:tcPr>
          <w:p w14:paraId="2D76C072"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3FC1B386"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0510FAEB"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22 </w:t>
            </w:r>
          </w:p>
        </w:tc>
      </w:tr>
      <w:tr w:rsidR="001612D8" w:rsidRPr="001612D8" w14:paraId="1D326D8F" w14:textId="77777777" w:rsidTr="001612D8">
        <w:trPr>
          <w:trHeight w:val="229"/>
          <w:jc w:val="center"/>
        </w:trPr>
        <w:tc>
          <w:tcPr>
            <w:tcW w:w="0" w:type="auto"/>
            <w:hideMark/>
          </w:tcPr>
          <w:p w14:paraId="20714B6E"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18</w:t>
            </w:r>
          </w:p>
        </w:tc>
        <w:tc>
          <w:tcPr>
            <w:tcW w:w="0" w:type="auto"/>
            <w:hideMark/>
          </w:tcPr>
          <w:p w14:paraId="35677DDF"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5E54B5B7"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72CC284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23 </w:t>
            </w:r>
          </w:p>
        </w:tc>
      </w:tr>
      <w:tr w:rsidR="001612D8" w:rsidRPr="001612D8" w14:paraId="663851F3" w14:textId="77777777" w:rsidTr="001612D8">
        <w:trPr>
          <w:trHeight w:val="229"/>
          <w:jc w:val="center"/>
        </w:trPr>
        <w:tc>
          <w:tcPr>
            <w:tcW w:w="0" w:type="auto"/>
            <w:hideMark/>
          </w:tcPr>
          <w:p w14:paraId="32A1D64D"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19</w:t>
            </w:r>
          </w:p>
        </w:tc>
        <w:tc>
          <w:tcPr>
            <w:tcW w:w="0" w:type="auto"/>
            <w:hideMark/>
          </w:tcPr>
          <w:p w14:paraId="05A7092A"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741744C8"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3BB6932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24 </w:t>
            </w:r>
          </w:p>
        </w:tc>
      </w:tr>
      <w:tr w:rsidR="001612D8" w:rsidRPr="001612D8" w14:paraId="229B34C1" w14:textId="77777777" w:rsidTr="001612D8">
        <w:trPr>
          <w:trHeight w:val="229"/>
          <w:jc w:val="center"/>
        </w:trPr>
        <w:tc>
          <w:tcPr>
            <w:tcW w:w="0" w:type="auto"/>
            <w:hideMark/>
          </w:tcPr>
          <w:p w14:paraId="19ACD11D"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20</w:t>
            </w:r>
          </w:p>
        </w:tc>
        <w:tc>
          <w:tcPr>
            <w:tcW w:w="0" w:type="auto"/>
            <w:hideMark/>
          </w:tcPr>
          <w:p w14:paraId="15DF065A"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280362BE"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24EFE7C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25 </w:t>
            </w:r>
          </w:p>
        </w:tc>
      </w:tr>
      <w:tr w:rsidR="001612D8" w:rsidRPr="001612D8" w14:paraId="3102AF53" w14:textId="77777777" w:rsidTr="001612D8">
        <w:trPr>
          <w:trHeight w:val="229"/>
          <w:jc w:val="center"/>
        </w:trPr>
        <w:tc>
          <w:tcPr>
            <w:tcW w:w="0" w:type="auto"/>
            <w:hideMark/>
          </w:tcPr>
          <w:p w14:paraId="37438ED4"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21</w:t>
            </w:r>
          </w:p>
        </w:tc>
        <w:tc>
          <w:tcPr>
            <w:tcW w:w="0" w:type="auto"/>
            <w:hideMark/>
          </w:tcPr>
          <w:p w14:paraId="35CB3621"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4FE86508"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2178C3F7"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27 </w:t>
            </w:r>
          </w:p>
        </w:tc>
      </w:tr>
      <w:tr w:rsidR="001612D8" w:rsidRPr="001612D8" w14:paraId="3ABE0CB8" w14:textId="77777777" w:rsidTr="001612D8">
        <w:trPr>
          <w:trHeight w:val="229"/>
          <w:jc w:val="center"/>
        </w:trPr>
        <w:tc>
          <w:tcPr>
            <w:tcW w:w="0" w:type="auto"/>
            <w:hideMark/>
          </w:tcPr>
          <w:p w14:paraId="4F0CDFC3"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22</w:t>
            </w:r>
          </w:p>
        </w:tc>
        <w:tc>
          <w:tcPr>
            <w:tcW w:w="0" w:type="auto"/>
            <w:hideMark/>
          </w:tcPr>
          <w:p w14:paraId="3BF12929"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2DC4E442"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7575940F"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28 </w:t>
            </w:r>
          </w:p>
        </w:tc>
      </w:tr>
      <w:tr w:rsidR="001612D8" w:rsidRPr="001612D8" w14:paraId="64CB9A4A" w14:textId="77777777" w:rsidTr="001612D8">
        <w:trPr>
          <w:trHeight w:val="229"/>
          <w:jc w:val="center"/>
        </w:trPr>
        <w:tc>
          <w:tcPr>
            <w:tcW w:w="0" w:type="auto"/>
            <w:hideMark/>
          </w:tcPr>
          <w:p w14:paraId="27FABFB1"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23</w:t>
            </w:r>
          </w:p>
        </w:tc>
        <w:tc>
          <w:tcPr>
            <w:tcW w:w="0" w:type="auto"/>
            <w:hideMark/>
          </w:tcPr>
          <w:p w14:paraId="5998C2C4"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5474AE65"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1B5346B0"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29 </w:t>
            </w:r>
          </w:p>
        </w:tc>
      </w:tr>
      <w:tr w:rsidR="001612D8" w:rsidRPr="001612D8" w14:paraId="53BDCAF7" w14:textId="77777777" w:rsidTr="001612D8">
        <w:trPr>
          <w:trHeight w:val="229"/>
          <w:jc w:val="center"/>
        </w:trPr>
        <w:tc>
          <w:tcPr>
            <w:tcW w:w="0" w:type="auto"/>
            <w:hideMark/>
          </w:tcPr>
          <w:p w14:paraId="71EAE63E"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24</w:t>
            </w:r>
          </w:p>
        </w:tc>
        <w:tc>
          <w:tcPr>
            <w:tcW w:w="0" w:type="auto"/>
            <w:hideMark/>
          </w:tcPr>
          <w:p w14:paraId="5B8FBECD"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34979611"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3664CA9D"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30 </w:t>
            </w:r>
          </w:p>
        </w:tc>
      </w:tr>
      <w:tr w:rsidR="001612D8" w:rsidRPr="001612D8" w14:paraId="1E8A1847" w14:textId="77777777" w:rsidTr="001612D8">
        <w:trPr>
          <w:trHeight w:val="229"/>
          <w:jc w:val="center"/>
        </w:trPr>
        <w:tc>
          <w:tcPr>
            <w:tcW w:w="0" w:type="auto"/>
            <w:hideMark/>
          </w:tcPr>
          <w:p w14:paraId="33204F1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25</w:t>
            </w:r>
          </w:p>
        </w:tc>
        <w:tc>
          <w:tcPr>
            <w:tcW w:w="0" w:type="auto"/>
            <w:hideMark/>
          </w:tcPr>
          <w:p w14:paraId="79869AF0"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3BF2DFE0"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6F83636C"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31 </w:t>
            </w:r>
          </w:p>
        </w:tc>
      </w:tr>
      <w:tr w:rsidR="001612D8" w:rsidRPr="001612D8" w14:paraId="415E141D" w14:textId="77777777" w:rsidTr="001612D8">
        <w:trPr>
          <w:trHeight w:val="229"/>
          <w:jc w:val="center"/>
        </w:trPr>
        <w:tc>
          <w:tcPr>
            <w:tcW w:w="0" w:type="auto"/>
            <w:hideMark/>
          </w:tcPr>
          <w:p w14:paraId="32D220F4"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26</w:t>
            </w:r>
          </w:p>
        </w:tc>
        <w:tc>
          <w:tcPr>
            <w:tcW w:w="0" w:type="auto"/>
            <w:hideMark/>
          </w:tcPr>
          <w:p w14:paraId="4246FD38"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386D193F"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4C6E5FCD"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32 </w:t>
            </w:r>
          </w:p>
        </w:tc>
      </w:tr>
      <w:tr w:rsidR="001612D8" w:rsidRPr="001612D8" w14:paraId="3F184191" w14:textId="77777777" w:rsidTr="001612D8">
        <w:trPr>
          <w:trHeight w:val="229"/>
          <w:jc w:val="center"/>
        </w:trPr>
        <w:tc>
          <w:tcPr>
            <w:tcW w:w="0" w:type="auto"/>
            <w:hideMark/>
          </w:tcPr>
          <w:p w14:paraId="513671CE"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27</w:t>
            </w:r>
          </w:p>
        </w:tc>
        <w:tc>
          <w:tcPr>
            <w:tcW w:w="0" w:type="auto"/>
            <w:hideMark/>
          </w:tcPr>
          <w:p w14:paraId="30B8BA70"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39D522EB"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40A96F1B"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33/33A </w:t>
            </w:r>
          </w:p>
        </w:tc>
      </w:tr>
      <w:tr w:rsidR="001612D8" w:rsidRPr="001612D8" w14:paraId="702082A7" w14:textId="77777777" w:rsidTr="001612D8">
        <w:trPr>
          <w:trHeight w:val="229"/>
          <w:jc w:val="center"/>
        </w:trPr>
        <w:tc>
          <w:tcPr>
            <w:tcW w:w="0" w:type="auto"/>
            <w:hideMark/>
          </w:tcPr>
          <w:p w14:paraId="20981A97"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28</w:t>
            </w:r>
          </w:p>
        </w:tc>
        <w:tc>
          <w:tcPr>
            <w:tcW w:w="0" w:type="auto"/>
            <w:hideMark/>
          </w:tcPr>
          <w:p w14:paraId="0640CE34"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2 </w:t>
            </w:r>
          </w:p>
        </w:tc>
        <w:tc>
          <w:tcPr>
            <w:tcW w:w="0" w:type="auto"/>
            <w:hideMark/>
          </w:tcPr>
          <w:p w14:paraId="7F334EF8"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N/A</w:t>
            </w:r>
          </w:p>
        </w:tc>
        <w:tc>
          <w:tcPr>
            <w:tcW w:w="0" w:type="auto"/>
            <w:vMerge w:val="restart"/>
            <w:hideMark/>
          </w:tcPr>
          <w:p w14:paraId="6E697521"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w:t>
            </w:r>
          </w:p>
          <w:p w14:paraId="5EBF68B3"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reserved</w:t>
            </w:r>
          </w:p>
        </w:tc>
      </w:tr>
      <w:tr w:rsidR="001612D8" w:rsidRPr="001612D8" w14:paraId="5E37E5CB" w14:textId="77777777" w:rsidTr="001612D8">
        <w:trPr>
          <w:trHeight w:val="207"/>
          <w:jc w:val="center"/>
        </w:trPr>
        <w:tc>
          <w:tcPr>
            <w:tcW w:w="0" w:type="auto"/>
            <w:hideMark/>
          </w:tcPr>
          <w:p w14:paraId="2A412287"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29</w:t>
            </w:r>
          </w:p>
        </w:tc>
        <w:tc>
          <w:tcPr>
            <w:tcW w:w="0" w:type="auto"/>
            <w:hideMark/>
          </w:tcPr>
          <w:p w14:paraId="1FD65136"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7BF658FC"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N/A</w:t>
            </w:r>
          </w:p>
        </w:tc>
        <w:tc>
          <w:tcPr>
            <w:tcW w:w="0" w:type="auto"/>
            <w:vMerge/>
            <w:hideMark/>
          </w:tcPr>
          <w:p w14:paraId="34C0A99E" w14:textId="77777777" w:rsidR="001612D8" w:rsidRPr="001612D8" w:rsidRDefault="001612D8" w:rsidP="001612D8">
            <w:pPr>
              <w:rPr>
                <w:rFonts w:ascii="Times New Roman"/>
                <w:snapToGrid w:val="0"/>
                <w:sz w:val="16"/>
                <w:szCs w:val="22"/>
              </w:rPr>
            </w:pPr>
          </w:p>
        </w:tc>
      </w:tr>
      <w:tr w:rsidR="001612D8" w:rsidRPr="001612D8" w14:paraId="64BA0962" w14:textId="77777777" w:rsidTr="001612D8">
        <w:trPr>
          <w:trHeight w:val="207"/>
          <w:jc w:val="center"/>
        </w:trPr>
        <w:tc>
          <w:tcPr>
            <w:tcW w:w="0" w:type="auto"/>
            <w:hideMark/>
          </w:tcPr>
          <w:p w14:paraId="21777CF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30</w:t>
            </w:r>
          </w:p>
        </w:tc>
        <w:tc>
          <w:tcPr>
            <w:tcW w:w="0" w:type="auto"/>
            <w:hideMark/>
          </w:tcPr>
          <w:p w14:paraId="00017F2D"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54788F5A"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N/A</w:t>
            </w:r>
          </w:p>
        </w:tc>
        <w:tc>
          <w:tcPr>
            <w:tcW w:w="0" w:type="auto"/>
            <w:vMerge/>
            <w:hideMark/>
          </w:tcPr>
          <w:p w14:paraId="30205DC5" w14:textId="77777777" w:rsidR="001612D8" w:rsidRPr="001612D8" w:rsidRDefault="001612D8" w:rsidP="001612D8">
            <w:pPr>
              <w:rPr>
                <w:rFonts w:ascii="Times New Roman"/>
                <w:snapToGrid w:val="0"/>
                <w:sz w:val="16"/>
                <w:szCs w:val="22"/>
              </w:rPr>
            </w:pPr>
          </w:p>
        </w:tc>
      </w:tr>
      <w:tr w:rsidR="001612D8" w:rsidRPr="001612D8" w14:paraId="1CAF8A06" w14:textId="77777777" w:rsidTr="001612D8">
        <w:trPr>
          <w:trHeight w:val="207"/>
          <w:jc w:val="center"/>
        </w:trPr>
        <w:tc>
          <w:tcPr>
            <w:tcW w:w="0" w:type="auto"/>
            <w:hideMark/>
          </w:tcPr>
          <w:p w14:paraId="5006E4FE"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31</w:t>
            </w:r>
          </w:p>
        </w:tc>
        <w:tc>
          <w:tcPr>
            <w:tcW w:w="0" w:type="auto"/>
            <w:hideMark/>
          </w:tcPr>
          <w:p w14:paraId="338BCFCC"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15AF91B0"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N/A</w:t>
            </w:r>
          </w:p>
        </w:tc>
        <w:tc>
          <w:tcPr>
            <w:tcW w:w="0" w:type="auto"/>
            <w:vMerge/>
            <w:hideMark/>
          </w:tcPr>
          <w:p w14:paraId="0B74D8D8" w14:textId="77777777" w:rsidR="001612D8" w:rsidRPr="001612D8" w:rsidRDefault="001612D8" w:rsidP="001612D8">
            <w:pPr>
              <w:rPr>
                <w:rFonts w:ascii="Times New Roman"/>
                <w:snapToGrid w:val="0"/>
                <w:sz w:val="16"/>
                <w:szCs w:val="22"/>
              </w:rPr>
            </w:pPr>
          </w:p>
        </w:tc>
      </w:tr>
    </w:tbl>
    <w:p w14:paraId="0FB3E654" w14:textId="77777777" w:rsidR="001612D8" w:rsidRPr="001612D8" w:rsidRDefault="001612D8" w:rsidP="001612D8">
      <w:pPr>
        <w:rPr>
          <w:rFonts w:ascii="Times New Roman"/>
          <w:snapToGrid w:val="0"/>
          <w:sz w:val="22"/>
          <w:szCs w:val="22"/>
          <w:lang w:val="en-GB"/>
        </w:rPr>
      </w:pPr>
    </w:p>
    <w:p w14:paraId="33792DCF" w14:textId="5189C0DD" w:rsidR="001612D8" w:rsidRDefault="001612D8" w:rsidP="00055462">
      <w:pPr>
        <w:rPr>
          <w:lang w:val="en-GB" w:eastAsia="en-US"/>
        </w:rPr>
      </w:pPr>
    </w:p>
    <w:p w14:paraId="2CB8B0A2" w14:textId="4BF6D78F" w:rsidR="001612D8" w:rsidRDefault="001612D8" w:rsidP="00055462">
      <w:pPr>
        <w:rPr>
          <w:lang w:val="en-GB" w:eastAsia="en-US"/>
        </w:rPr>
      </w:pPr>
    </w:p>
    <w:p w14:paraId="57B876CB" w14:textId="71105474" w:rsidR="001612D8" w:rsidRDefault="001612D8" w:rsidP="00055462">
      <w:pPr>
        <w:rPr>
          <w:lang w:val="en-GB" w:eastAsia="en-US"/>
        </w:rPr>
      </w:pPr>
    </w:p>
    <w:p w14:paraId="06B2E9AC" w14:textId="4AE0B6B7" w:rsidR="004245FA" w:rsidRDefault="004245FA" w:rsidP="00055462">
      <w:pPr>
        <w:rPr>
          <w:rFonts w:ascii="Times New Roman"/>
          <w:b/>
          <w:snapToGrid w:val="0"/>
          <w:kern w:val="0"/>
          <w:sz w:val="22"/>
          <w:szCs w:val="22"/>
          <w:lang w:val="en-GB"/>
        </w:rPr>
      </w:pPr>
      <w:r>
        <w:rPr>
          <w:rFonts w:ascii="Times New Roman"/>
          <w:b/>
          <w:snapToGrid w:val="0"/>
          <w:kern w:val="0"/>
          <w:sz w:val="22"/>
          <w:szCs w:val="22"/>
          <w:u w:val="single"/>
          <w:lang w:val="en-GB"/>
        </w:rPr>
        <w:lastRenderedPageBreak/>
        <w:t>Observation 2</w:t>
      </w:r>
      <w:r w:rsidR="001612D8" w:rsidRPr="001612D8">
        <w:rPr>
          <w:rFonts w:ascii="Times New Roman"/>
          <w:b/>
          <w:snapToGrid w:val="0"/>
          <w:kern w:val="0"/>
          <w:sz w:val="22"/>
          <w:szCs w:val="22"/>
          <w:u w:val="single"/>
          <w:lang w:val="en-GB"/>
        </w:rPr>
        <w:t>:</w:t>
      </w:r>
      <w:r w:rsidR="001612D8" w:rsidRPr="001612D8">
        <w:rPr>
          <w:rFonts w:ascii="Times New Roman"/>
          <w:b/>
          <w:snapToGrid w:val="0"/>
          <w:kern w:val="0"/>
          <w:sz w:val="22"/>
          <w:szCs w:val="22"/>
          <w:lang w:val="en-GB"/>
        </w:rPr>
        <w:t xml:space="preserve"> </w:t>
      </w:r>
      <w:r>
        <w:rPr>
          <w:rFonts w:ascii="Times New Roman"/>
          <w:b/>
          <w:snapToGrid w:val="0"/>
          <w:kern w:val="0"/>
          <w:sz w:val="22"/>
          <w:szCs w:val="22"/>
          <w:lang w:val="en-GB"/>
        </w:rPr>
        <w:t>The following two solutions can be considered for modulation scheme selection:</w:t>
      </w:r>
    </w:p>
    <w:p w14:paraId="0E1EF388" w14:textId="7184CCE5" w:rsidR="004245FA" w:rsidRPr="004245FA" w:rsidRDefault="004245FA" w:rsidP="004245FA">
      <w:pPr>
        <w:pStyle w:val="ListParagraph"/>
        <w:numPr>
          <w:ilvl w:val="0"/>
          <w:numId w:val="27"/>
        </w:numPr>
        <w:ind w:leftChars="0"/>
        <w:rPr>
          <w:rFonts w:ascii="Times New Roman"/>
          <w:b/>
          <w:snapToGrid w:val="0"/>
          <w:sz w:val="22"/>
          <w:szCs w:val="22"/>
          <w:u w:val="single"/>
          <w:lang w:val="en-GB"/>
        </w:rPr>
      </w:pPr>
      <w:r>
        <w:rPr>
          <w:rFonts w:ascii="Times New Roman"/>
          <w:b/>
          <w:snapToGrid w:val="0"/>
          <w:sz w:val="22"/>
          <w:szCs w:val="22"/>
          <w:lang w:val="en-GB"/>
        </w:rPr>
        <w:t>Solution 1: Select modulation scheme based on TBS and number of REs used for rate matching.</w:t>
      </w:r>
    </w:p>
    <w:p w14:paraId="1A84DD94" w14:textId="45A48E1B" w:rsidR="001612D8" w:rsidRPr="004245FA" w:rsidRDefault="004245FA" w:rsidP="004245FA">
      <w:pPr>
        <w:pStyle w:val="ListParagraph"/>
        <w:numPr>
          <w:ilvl w:val="0"/>
          <w:numId w:val="27"/>
        </w:numPr>
        <w:ind w:leftChars="0"/>
        <w:rPr>
          <w:rFonts w:ascii="Times New Roman"/>
          <w:b/>
          <w:snapToGrid w:val="0"/>
          <w:sz w:val="22"/>
          <w:szCs w:val="22"/>
          <w:u w:val="single"/>
          <w:lang w:val="en-GB"/>
        </w:rPr>
      </w:pPr>
      <w:r>
        <w:rPr>
          <w:rFonts w:ascii="Times New Roman"/>
          <w:b/>
          <w:snapToGrid w:val="0"/>
          <w:sz w:val="22"/>
          <w:szCs w:val="22"/>
          <w:lang w:val="en-GB"/>
        </w:rPr>
        <w:t xml:space="preserve">Solution 2: Introduce </w:t>
      </w:r>
      <w:r>
        <w:rPr>
          <w:rFonts w:ascii="Times New Roman"/>
          <w:b/>
          <w:snapToGrid w:val="0"/>
          <w:sz w:val="22"/>
          <w:szCs w:val="22"/>
          <w:lang w:val="en-GB"/>
        </w:rPr>
        <w:t>“</w:t>
      </w:r>
      <w:r>
        <w:rPr>
          <w:rFonts w:ascii="Times New Roman"/>
          <w:b/>
          <w:snapToGrid w:val="0"/>
          <w:sz w:val="22"/>
          <w:szCs w:val="22"/>
          <w:lang w:val="en-GB"/>
        </w:rPr>
        <w:t>Modulation overriding</w:t>
      </w:r>
      <w:r>
        <w:rPr>
          <w:rFonts w:ascii="Times New Roman"/>
          <w:b/>
          <w:snapToGrid w:val="0"/>
          <w:sz w:val="22"/>
          <w:szCs w:val="22"/>
          <w:lang w:val="en-GB"/>
        </w:rPr>
        <w:t>”</w:t>
      </w:r>
      <w:r>
        <w:rPr>
          <w:rFonts w:ascii="Times New Roman"/>
          <w:b/>
          <w:snapToGrid w:val="0"/>
          <w:sz w:val="22"/>
          <w:szCs w:val="22"/>
          <w:lang w:val="en-GB"/>
        </w:rPr>
        <w:t xml:space="preserve"> field in DCI to change the modulation scheme.</w:t>
      </w:r>
    </w:p>
    <w:p w14:paraId="0785335F" w14:textId="4118577D" w:rsidR="001612D8" w:rsidRDefault="001612D8" w:rsidP="00055462">
      <w:pPr>
        <w:rPr>
          <w:lang w:val="en-GB" w:eastAsia="en-US"/>
        </w:rPr>
      </w:pPr>
    </w:p>
    <w:p w14:paraId="2E7B9142" w14:textId="1B0B5462" w:rsidR="004245FA" w:rsidRPr="001612D8" w:rsidRDefault="004245FA" w:rsidP="004245FA">
      <w:pPr>
        <w:rPr>
          <w:rFonts w:ascii="Times New Roman"/>
          <w:b/>
          <w:snapToGrid w:val="0"/>
          <w:kern w:val="0"/>
          <w:sz w:val="22"/>
          <w:szCs w:val="22"/>
          <w:u w:val="single"/>
          <w:lang w:val="en-GB"/>
        </w:rPr>
      </w:pPr>
      <w:r>
        <w:rPr>
          <w:rFonts w:ascii="Times New Roman"/>
          <w:b/>
          <w:snapToGrid w:val="0"/>
          <w:kern w:val="0"/>
          <w:sz w:val="22"/>
          <w:szCs w:val="22"/>
          <w:u w:val="single"/>
          <w:lang w:val="en-GB"/>
        </w:rPr>
        <w:t>Proposal</w:t>
      </w:r>
      <w:r w:rsidRPr="001612D8">
        <w:rPr>
          <w:rFonts w:ascii="Times New Roman"/>
          <w:b/>
          <w:snapToGrid w:val="0"/>
          <w:kern w:val="0"/>
          <w:sz w:val="22"/>
          <w:szCs w:val="22"/>
          <w:u w:val="single"/>
          <w:lang w:val="en-GB"/>
        </w:rPr>
        <w:t>:</w:t>
      </w:r>
      <w:r w:rsidRPr="001612D8">
        <w:rPr>
          <w:rFonts w:ascii="Times New Roman"/>
          <w:b/>
          <w:snapToGrid w:val="0"/>
          <w:kern w:val="0"/>
          <w:sz w:val="22"/>
          <w:szCs w:val="22"/>
          <w:lang w:val="en-GB"/>
        </w:rPr>
        <w:t xml:space="preserve"> Adopt Solution 2 (</w:t>
      </w:r>
      <w:r w:rsidR="0051673C">
        <w:rPr>
          <w:rFonts w:ascii="Times New Roman"/>
          <w:b/>
          <w:snapToGrid w:val="0"/>
          <w:sz w:val="22"/>
          <w:szCs w:val="22"/>
          <w:lang w:val="en-GB"/>
        </w:rPr>
        <w:t xml:space="preserve">Modulation overriding” field </w:t>
      </w:r>
      <w:r>
        <w:rPr>
          <w:rFonts w:ascii="Times New Roman"/>
          <w:b/>
          <w:snapToGrid w:val="0"/>
          <w:kern w:val="0"/>
          <w:sz w:val="22"/>
          <w:szCs w:val="22"/>
          <w:lang w:val="en-GB"/>
        </w:rPr>
        <w:t>in DCI</w:t>
      </w:r>
      <w:r w:rsidRPr="001612D8">
        <w:rPr>
          <w:rFonts w:ascii="Times New Roman"/>
          <w:b/>
          <w:snapToGrid w:val="0"/>
          <w:kern w:val="0"/>
          <w:sz w:val="22"/>
          <w:szCs w:val="22"/>
          <w:lang w:val="en-GB"/>
        </w:rPr>
        <w:t>) for modulation scheme selection</w:t>
      </w:r>
      <w:r>
        <w:rPr>
          <w:rFonts w:ascii="Times New Roman"/>
          <w:b/>
          <w:snapToGrid w:val="0"/>
          <w:kern w:val="0"/>
          <w:sz w:val="22"/>
          <w:szCs w:val="22"/>
          <w:lang w:val="en-GB"/>
        </w:rPr>
        <w:t>.</w:t>
      </w:r>
    </w:p>
    <w:p w14:paraId="5DE11FFD" w14:textId="77777777" w:rsidR="001612D8" w:rsidRDefault="001612D8" w:rsidP="00055462">
      <w:pPr>
        <w:rPr>
          <w:lang w:val="en-GB" w:eastAsia="en-US"/>
        </w:rPr>
      </w:pPr>
    </w:p>
    <w:p w14:paraId="4572AA5F" w14:textId="4E1A2EFE" w:rsidR="00055462" w:rsidRDefault="00055462" w:rsidP="00055462">
      <w:pPr>
        <w:pStyle w:val="Heading1"/>
      </w:pPr>
      <w:r>
        <w:t>Summary of proposals</w:t>
      </w:r>
    </w:p>
    <w:p w14:paraId="5D89ACEC" w14:textId="145F2CDB" w:rsidR="00055462" w:rsidRDefault="00055462" w:rsidP="00055462">
      <w:pPr>
        <w:rPr>
          <w:lang w:val="en-GB" w:eastAsia="en-US"/>
        </w:rPr>
      </w:pPr>
    </w:p>
    <w:p w14:paraId="7E11C318" w14:textId="77777777" w:rsidR="001612D8" w:rsidRDefault="001612D8" w:rsidP="001612D8">
      <w:pPr>
        <w:pStyle w:val="LGTdoc1"/>
        <w:spacing w:beforeLines="0" w:before="120" w:after="220" w:afterAutospacing="0"/>
        <w:jc w:val="left"/>
        <w:rPr>
          <w:sz w:val="22"/>
          <w:szCs w:val="22"/>
        </w:rPr>
      </w:pPr>
      <w:r w:rsidRPr="001612D8">
        <w:rPr>
          <w:sz w:val="22"/>
          <w:szCs w:val="22"/>
          <w:u w:val="single"/>
        </w:rPr>
        <w:t>Observation 1:</w:t>
      </w:r>
      <w:r>
        <w:rPr>
          <w:sz w:val="22"/>
          <w:szCs w:val="22"/>
        </w:rPr>
        <w:t xml:space="preserve"> The static association between MCS/TBS and modulation scheme leads to suboptimal modulation selection in some cases.</w:t>
      </w:r>
    </w:p>
    <w:p w14:paraId="04F3C12A" w14:textId="79D0163F" w:rsidR="004245FA" w:rsidRDefault="004245FA" w:rsidP="004245FA">
      <w:pPr>
        <w:rPr>
          <w:rFonts w:ascii="Times New Roman"/>
          <w:b/>
          <w:snapToGrid w:val="0"/>
          <w:kern w:val="0"/>
          <w:sz w:val="22"/>
          <w:szCs w:val="22"/>
          <w:lang w:val="en-GB"/>
        </w:rPr>
      </w:pPr>
      <w:r>
        <w:rPr>
          <w:rFonts w:ascii="Times New Roman"/>
          <w:b/>
          <w:snapToGrid w:val="0"/>
          <w:kern w:val="0"/>
          <w:sz w:val="22"/>
          <w:szCs w:val="22"/>
          <w:u w:val="single"/>
          <w:lang w:val="en-GB"/>
        </w:rPr>
        <w:t>Observation 2</w:t>
      </w:r>
      <w:r w:rsidRPr="001612D8">
        <w:rPr>
          <w:rFonts w:ascii="Times New Roman"/>
          <w:b/>
          <w:snapToGrid w:val="0"/>
          <w:kern w:val="0"/>
          <w:sz w:val="22"/>
          <w:szCs w:val="22"/>
          <w:u w:val="single"/>
          <w:lang w:val="en-GB"/>
        </w:rPr>
        <w:t>:</w:t>
      </w:r>
      <w:r w:rsidRPr="001612D8">
        <w:rPr>
          <w:rFonts w:ascii="Times New Roman"/>
          <w:b/>
          <w:snapToGrid w:val="0"/>
          <w:kern w:val="0"/>
          <w:sz w:val="22"/>
          <w:szCs w:val="22"/>
          <w:lang w:val="en-GB"/>
        </w:rPr>
        <w:t xml:space="preserve"> </w:t>
      </w:r>
      <w:r>
        <w:rPr>
          <w:rFonts w:ascii="Times New Roman"/>
          <w:b/>
          <w:snapToGrid w:val="0"/>
          <w:kern w:val="0"/>
          <w:sz w:val="22"/>
          <w:szCs w:val="22"/>
          <w:lang w:val="en-GB"/>
        </w:rPr>
        <w:t>The following two solutions can be considered for modulation scheme selection:</w:t>
      </w:r>
    </w:p>
    <w:p w14:paraId="16461A8A" w14:textId="77777777" w:rsidR="004245FA" w:rsidRPr="004245FA" w:rsidRDefault="004245FA" w:rsidP="004245FA">
      <w:pPr>
        <w:pStyle w:val="ListParagraph"/>
        <w:numPr>
          <w:ilvl w:val="0"/>
          <w:numId w:val="27"/>
        </w:numPr>
        <w:ind w:leftChars="0"/>
        <w:rPr>
          <w:rFonts w:ascii="Times New Roman"/>
          <w:b/>
          <w:snapToGrid w:val="0"/>
          <w:sz w:val="22"/>
          <w:szCs w:val="22"/>
          <w:u w:val="single"/>
          <w:lang w:val="en-GB"/>
        </w:rPr>
      </w:pPr>
      <w:r>
        <w:rPr>
          <w:rFonts w:ascii="Times New Roman"/>
          <w:b/>
          <w:snapToGrid w:val="0"/>
          <w:sz w:val="22"/>
          <w:szCs w:val="22"/>
          <w:lang w:val="en-GB"/>
        </w:rPr>
        <w:t>Solution 1: Select modulation scheme based on TBS and number of REs used for rate matching</w:t>
      </w:r>
    </w:p>
    <w:p w14:paraId="1A74CF0A" w14:textId="77777777" w:rsidR="004245FA" w:rsidRPr="004245FA" w:rsidRDefault="004245FA" w:rsidP="004245FA">
      <w:pPr>
        <w:pStyle w:val="ListParagraph"/>
        <w:numPr>
          <w:ilvl w:val="0"/>
          <w:numId w:val="27"/>
        </w:numPr>
        <w:ind w:leftChars="0"/>
        <w:rPr>
          <w:rFonts w:ascii="Times New Roman"/>
          <w:b/>
          <w:snapToGrid w:val="0"/>
          <w:sz w:val="22"/>
          <w:szCs w:val="22"/>
          <w:u w:val="single"/>
          <w:lang w:val="en-GB"/>
        </w:rPr>
      </w:pPr>
      <w:r>
        <w:rPr>
          <w:rFonts w:ascii="Times New Roman"/>
          <w:b/>
          <w:snapToGrid w:val="0"/>
          <w:sz w:val="22"/>
          <w:szCs w:val="22"/>
          <w:lang w:val="en-GB"/>
        </w:rPr>
        <w:t xml:space="preserve">Solution 2: Introduce </w:t>
      </w:r>
      <w:r>
        <w:rPr>
          <w:rFonts w:ascii="Times New Roman"/>
          <w:b/>
          <w:snapToGrid w:val="0"/>
          <w:sz w:val="22"/>
          <w:szCs w:val="22"/>
          <w:lang w:val="en-GB"/>
        </w:rPr>
        <w:t>“</w:t>
      </w:r>
      <w:r>
        <w:rPr>
          <w:rFonts w:ascii="Times New Roman"/>
          <w:b/>
          <w:snapToGrid w:val="0"/>
          <w:sz w:val="22"/>
          <w:szCs w:val="22"/>
          <w:lang w:val="en-GB"/>
        </w:rPr>
        <w:t>Modulation overriding</w:t>
      </w:r>
      <w:r>
        <w:rPr>
          <w:rFonts w:ascii="Times New Roman"/>
          <w:b/>
          <w:snapToGrid w:val="0"/>
          <w:sz w:val="22"/>
          <w:szCs w:val="22"/>
          <w:lang w:val="en-GB"/>
        </w:rPr>
        <w:t>”</w:t>
      </w:r>
      <w:r>
        <w:rPr>
          <w:rFonts w:ascii="Times New Roman"/>
          <w:b/>
          <w:snapToGrid w:val="0"/>
          <w:sz w:val="22"/>
          <w:szCs w:val="22"/>
          <w:lang w:val="en-GB"/>
        </w:rPr>
        <w:t xml:space="preserve"> field in DCI to change the modulation scheme.</w:t>
      </w:r>
    </w:p>
    <w:p w14:paraId="2248957E" w14:textId="0B695FCC" w:rsidR="00055462" w:rsidRDefault="00055462" w:rsidP="00055462">
      <w:pPr>
        <w:rPr>
          <w:lang w:val="en-GB" w:eastAsia="en-US"/>
        </w:rPr>
      </w:pPr>
    </w:p>
    <w:p w14:paraId="127A224F" w14:textId="77777777" w:rsidR="0051673C" w:rsidRPr="001612D8" w:rsidRDefault="0051673C" w:rsidP="0051673C">
      <w:pPr>
        <w:rPr>
          <w:rFonts w:ascii="Times New Roman"/>
          <w:b/>
          <w:snapToGrid w:val="0"/>
          <w:kern w:val="0"/>
          <w:sz w:val="22"/>
          <w:szCs w:val="22"/>
          <w:u w:val="single"/>
          <w:lang w:val="en-GB"/>
        </w:rPr>
      </w:pPr>
      <w:r>
        <w:rPr>
          <w:rFonts w:ascii="Times New Roman"/>
          <w:b/>
          <w:snapToGrid w:val="0"/>
          <w:kern w:val="0"/>
          <w:sz w:val="22"/>
          <w:szCs w:val="22"/>
          <w:u w:val="single"/>
          <w:lang w:val="en-GB"/>
        </w:rPr>
        <w:t>Proposal</w:t>
      </w:r>
      <w:r w:rsidRPr="001612D8">
        <w:rPr>
          <w:rFonts w:ascii="Times New Roman"/>
          <w:b/>
          <w:snapToGrid w:val="0"/>
          <w:kern w:val="0"/>
          <w:sz w:val="22"/>
          <w:szCs w:val="22"/>
          <w:u w:val="single"/>
          <w:lang w:val="en-GB"/>
        </w:rPr>
        <w:t>:</w:t>
      </w:r>
      <w:r w:rsidRPr="001612D8">
        <w:rPr>
          <w:rFonts w:ascii="Times New Roman"/>
          <w:b/>
          <w:snapToGrid w:val="0"/>
          <w:kern w:val="0"/>
          <w:sz w:val="22"/>
          <w:szCs w:val="22"/>
          <w:lang w:val="en-GB"/>
        </w:rPr>
        <w:t xml:space="preserve"> Adopt Solution 2 (</w:t>
      </w:r>
      <w:r>
        <w:rPr>
          <w:rFonts w:ascii="Times New Roman"/>
          <w:b/>
          <w:snapToGrid w:val="0"/>
          <w:sz w:val="22"/>
          <w:szCs w:val="22"/>
          <w:lang w:val="en-GB"/>
        </w:rPr>
        <w:t xml:space="preserve">Modulation overriding” field </w:t>
      </w:r>
      <w:r>
        <w:rPr>
          <w:rFonts w:ascii="Times New Roman"/>
          <w:b/>
          <w:snapToGrid w:val="0"/>
          <w:kern w:val="0"/>
          <w:sz w:val="22"/>
          <w:szCs w:val="22"/>
          <w:lang w:val="en-GB"/>
        </w:rPr>
        <w:t>in DCI</w:t>
      </w:r>
      <w:r w:rsidRPr="001612D8">
        <w:rPr>
          <w:rFonts w:ascii="Times New Roman"/>
          <w:b/>
          <w:snapToGrid w:val="0"/>
          <w:kern w:val="0"/>
          <w:sz w:val="22"/>
          <w:szCs w:val="22"/>
          <w:lang w:val="en-GB"/>
        </w:rPr>
        <w:t>) for modulation scheme selection</w:t>
      </w:r>
      <w:r>
        <w:rPr>
          <w:rFonts w:ascii="Times New Roman"/>
          <w:b/>
          <w:snapToGrid w:val="0"/>
          <w:kern w:val="0"/>
          <w:sz w:val="22"/>
          <w:szCs w:val="22"/>
          <w:lang w:val="en-GB"/>
        </w:rPr>
        <w:t>.</w:t>
      </w:r>
    </w:p>
    <w:p w14:paraId="648CDC4A" w14:textId="77777777" w:rsidR="00055462" w:rsidRPr="00055462" w:rsidRDefault="00055462" w:rsidP="00055462">
      <w:pPr>
        <w:rPr>
          <w:lang w:val="en-GB" w:eastAsia="en-US"/>
        </w:rPr>
      </w:pPr>
    </w:p>
    <w:sectPr w:rsidR="00055462" w:rsidRPr="00055462" w:rsidSect="00B47B85">
      <w:footerReference w:type="even" r:id="rId17"/>
      <w:footerReference w:type="defaul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5A55CC" w14:textId="77777777" w:rsidR="000338BE" w:rsidRDefault="000338BE">
      <w:r>
        <w:separator/>
      </w:r>
    </w:p>
  </w:endnote>
  <w:endnote w:type="continuationSeparator" w:id="0">
    <w:p w14:paraId="32BA6A1D" w14:textId="77777777" w:rsidR="000338BE" w:rsidRDefault="000338BE">
      <w:r>
        <w:continuationSeparator/>
      </w:r>
    </w:p>
  </w:endnote>
  <w:endnote w:type="continuationNotice" w:id="1">
    <w:p w14:paraId="057D1A0C" w14:textId="77777777" w:rsidR="000338BE" w:rsidRDefault="000338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223FF" w:rsidRDefault="00522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1ED67225"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AD">
      <w:rPr>
        <w:rStyle w:val="PageNumber"/>
        <w:noProof/>
      </w:rPr>
      <w:t>2</w:t>
    </w:r>
    <w:r>
      <w:rPr>
        <w:rStyle w:val="PageNumber"/>
      </w:rPr>
      <w:fldChar w:fldCharType="end"/>
    </w:r>
  </w:p>
  <w:p w14:paraId="5BFA00B5" w14:textId="77777777" w:rsidR="005223FF" w:rsidRDefault="00522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27C50" w14:textId="77777777" w:rsidR="000338BE" w:rsidRDefault="000338BE">
      <w:r>
        <w:separator/>
      </w:r>
    </w:p>
  </w:footnote>
  <w:footnote w:type="continuationSeparator" w:id="0">
    <w:p w14:paraId="15452917" w14:textId="77777777" w:rsidR="000338BE" w:rsidRDefault="000338BE">
      <w:r>
        <w:continuationSeparator/>
      </w:r>
    </w:p>
  </w:footnote>
  <w:footnote w:type="continuationNotice" w:id="1">
    <w:p w14:paraId="33504E8E" w14:textId="77777777" w:rsidR="000338BE" w:rsidRDefault="000338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D13B48"/>
    <w:multiLevelType w:val="hybridMultilevel"/>
    <w:tmpl w:val="BD748304"/>
    <w:lvl w:ilvl="0" w:tplc="33C20D4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D0253AD"/>
    <w:multiLevelType w:val="hybridMultilevel"/>
    <w:tmpl w:val="A0B60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182C69"/>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F0552E"/>
    <w:multiLevelType w:val="multilevel"/>
    <w:tmpl w:val="8EAE2AA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013417"/>
    <w:multiLevelType w:val="hybridMultilevel"/>
    <w:tmpl w:val="C34A8994"/>
    <w:lvl w:ilvl="0" w:tplc="A2D66706">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AB110D"/>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3338B0"/>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2F0264"/>
    <w:multiLevelType w:val="hybridMultilevel"/>
    <w:tmpl w:val="D6B09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B8692D"/>
    <w:multiLevelType w:val="hybridMultilevel"/>
    <w:tmpl w:val="3CCE2F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7D6A61"/>
    <w:multiLevelType w:val="hybridMultilevel"/>
    <w:tmpl w:val="9CD0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47168E"/>
    <w:multiLevelType w:val="hybridMultilevel"/>
    <w:tmpl w:val="AE0ED8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8B3C02"/>
    <w:multiLevelType w:val="hybridMultilevel"/>
    <w:tmpl w:val="A14C6572"/>
    <w:lvl w:ilvl="0" w:tplc="66C89454">
      <w:start w:val="1"/>
      <w:numFmt w:val="bullet"/>
      <w:lvlText w:val="•"/>
      <w:lvlJc w:val="left"/>
      <w:pPr>
        <w:tabs>
          <w:tab w:val="num" w:pos="720"/>
        </w:tabs>
        <w:ind w:left="720" w:hanging="360"/>
      </w:pPr>
      <w:rPr>
        <w:rFonts w:ascii="Arial" w:hAnsi="Arial" w:hint="default"/>
      </w:rPr>
    </w:lvl>
    <w:lvl w:ilvl="1" w:tplc="CC6CC176">
      <w:start w:val="1"/>
      <w:numFmt w:val="bullet"/>
      <w:lvlText w:val="•"/>
      <w:lvlJc w:val="left"/>
      <w:pPr>
        <w:tabs>
          <w:tab w:val="num" w:pos="1440"/>
        </w:tabs>
        <w:ind w:left="1440" w:hanging="360"/>
      </w:pPr>
      <w:rPr>
        <w:rFonts w:ascii="Arial" w:hAnsi="Arial" w:hint="default"/>
      </w:rPr>
    </w:lvl>
    <w:lvl w:ilvl="2" w:tplc="78F6F59A" w:tentative="1">
      <w:start w:val="1"/>
      <w:numFmt w:val="bullet"/>
      <w:lvlText w:val="•"/>
      <w:lvlJc w:val="left"/>
      <w:pPr>
        <w:tabs>
          <w:tab w:val="num" w:pos="2160"/>
        </w:tabs>
        <w:ind w:left="2160" w:hanging="360"/>
      </w:pPr>
      <w:rPr>
        <w:rFonts w:ascii="Arial" w:hAnsi="Arial" w:hint="default"/>
      </w:rPr>
    </w:lvl>
    <w:lvl w:ilvl="3" w:tplc="DF869E94" w:tentative="1">
      <w:start w:val="1"/>
      <w:numFmt w:val="bullet"/>
      <w:lvlText w:val="•"/>
      <w:lvlJc w:val="left"/>
      <w:pPr>
        <w:tabs>
          <w:tab w:val="num" w:pos="2880"/>
        </w:tabs>
        <w:ind w:left="2880" w:hanging="360"/>
      </w:pPr>
      <w:rPr>
        <w:rFonts w:ascii="Arial" w:hAnsi="Arial" w:hint="default"/>
      </w:rPr>
    </w:lvl>
    <w:lvl w:ilvl="4" w:tplc="FA22A94A" w:tentative="1">
      <w:start w:val="1"/>
      <w:numFmt w:val="bullet"/>
      <w:lvlText w:val="•"/>
      <w:lvlJc w:val="left"/>
      <w:pPr>
        <w:tabs>
          <w:tab w:val="num" w:pos="3600"/>
        </w:tabs>
        <w:ind w:left="3600" w:hanging="360"/>
      </w:pPr>
      <w:rPr>
        <w:rFonts w:ascii="Arial" w:hAnsi="Arial" w:hint="default"/>
      </w:rPr>
    </w:lvl>
    <w:lvl w:ilvl="5" w:tplc="18720D26" w:tentative="1">
      <w:start w:val="1"/>
      <w:numFmt w:val="bullet"/>
      <w:lvlText w:val="•"/>
      <w:lvlJc w:val="left"/>
      <w:pPr>
        <w:tabs>
          <w:tab w:val="num" w:pos="4320"/>
        </w:tabs>
        <w:ind w:left="4320" w:hanging="360"/>
      </w:pPr>
      <w:rPr>
        <w:rFonts w:ascii="Arial" w:hAnsi="Arial" w:hint="default"/>
      </w:rPr>
    </w:lvl>
    <w:lvl w:ilvl="6" w:tplc="C4C651C6" w:tentative="1">
      <w:start w:val="1"/>
      <w:numFmt w:val="bullet"/>
      <w:lvlText w:val="•"/>
      <w:lvlJc w:val="left"/>
      <w:pPr>
        <w:tabs>
          <w:tab w:val="num" w:pos="5040"/>
        </w:tabs>
        <w:ind w:left="5040" w:hanging="360"/>
      </w:pPr>
      <w:rPr>
        <w:rFonts w:ascii="Arial" w:hAnsi="Arial" w:hint="default"/>
      </w:rPr>
    </w:lvl>
    <w:lvl w:ilvl="7" w:tplc="736C77BE" w:tentative="1">
      <w:start w:val="1"/>
      <w:numFmt w:val="bullet"/>
      <w:lvlText w:val="•"/>
      <w:lvlJc w:val="left"/>
      <w:pPr>
        <w:tabs>
          <w:tab w:val="num" w:pos="5760"/>
        </w:tabs>
        <w:ind w:left="5760" w:hanging="360"/>
      </w:pPr>
      <w:rPr>
        <w:rFonts w:ascii="Arial" w:hAnsi="Arial" w:hint="default"/>
      </w:rPr>
    </w:lvl>
    <w:lvl w:ilvl="8" w:tplc="4882174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79010C"/>
    <w:multiLevelType w:val="hybridMultilevel"/>
    <w:tmpl w:val="731A0BD0"/>
    <w:lvl w:ilvl="0" w:tplc="7A520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E597D"/>
    <w:multiLevelType w:val="hybridMultilevel"/>
    <w:tmpl w:val="3BBCF00C"/>
    <w:lvl w:ilvl="0" w:tplc="78FCCC6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C2D36B0"/>
    <w:multiLevelType w:val="hybridMultilevel"/>
    <w:tmpl w:val="CDEA4858"/>
    <w:lvl w:ilvl="0" w:tplc="517EDDA0">
      <w:start w:val="2"/>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8" w15:restartNumberingAfterBreak="0">
    <w:nsid w:val="77D62F9F"/>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5"/>
  </w:num>
  <w:num w:numId="3">
    <w:abstractNumId w:val="20"/>
  </w:num>
  <w:num w:numId="4">
    <w:abstractNumId w:val="30"/>
  </w:num>
  <w:num w:numId="5">
    <w:abstractNumId w:val="31"/>
  </w:num>
  <w:num w:numId="6">
    <w:abstractNumId w:val="12"/>
  </w:num>
  <w:num w:numId="7">
    <w:abstractNumId w:val="16"/>
  </w:num>
  <w:num w:numId="8">
    <w:abstractNumId w:val="3"/>
  </w:num>
  <w:num w:numId="9">
    <w:abstractNumId w:val="25"/>
  </w:num>
  <w:num w:numId="10">
    <w:abstractNumId w:val="22"/>
  </w:num>
  <w:num w:numId="11">
    <w:abstractNumId w:val="19"/>
  </w:num>
  <w:num w:numId="12">
    <w:abstractNumId w:val="2"/>
  </w:num>
  <w:num w:numId="13">
    <w:abstractNumId w:val="26"/>
  </w:num>
  <w:num w:numId="14">
    <w:abstractNumId w:val="29"/>
  </w:num>
  <w:num w:numId="15">
    <w:abstractNumId w:val="21"/>
  </w:num>
  <w:num w:numId="16">
    <w:abstractNumId w:val="13"/>
  </w:num>
  <w:num w:numId="17">
    <w:abstractNumId w:val="9"/>
  </w:num>
  <w:num w:numId="18">
    <w:abstractNumId w:val="0"/>
  </w:num>
  <w:num w:numId="19">
    <w:abstractNumId w:val="23"/>
  </w:num>
  <w:num w:numId="20">
    <w:abstractNumId w:val="15"/>
  </w:num>
  <w:num w:numId="21">
    <w:abstractNumId w:val="6"/>
  </w:num>
  <w:num w:numId="22">
    <w:abstractNumId w:val="7"/>
  </w:num>
  <w:num w:numId="23">
    <w:abstractNumId w:val="28"/>
  </w:num>
  <w:num w:numId="24">
    <w:abstractNumId w:val="10"/>
  </w:num>
  <w:num w:numId="25">
    <w:abstractNumId w:val="11"/>
  </w:num>
  <w:num w:numId="26">
    <w:abstractNumId w:val="1"/>
  </w:num>
  <w:num w:numId="27">
    <w:abstractNumId w:val="24"/>
  </w:num>
  <w:num w:numId="28">
    <w:abstractNumId w:val="27"/>
  </w:num>
  <w:num w:numId="29">
    <w:abstractNumId w:val="14"/>
  </w:num>
  <w:num w:numId="30">
    <w:abstractNumId w:val="18"/>
  </w:num>
  <w:num w:numId="31">
    <w:abstractNumId w:val="4"/>
  </w:num>
  <w:num w:numId="32">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8B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62"/>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46F"/>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63A"/>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5EB1"/>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1B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6A5"/>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2D8"/>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3C1"/>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22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407"/>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869"/>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5FA"/>
    <w:rsid w:val="00424762"/>
    <w:rsid w:val="00424E75"/>
    <w:rsid w:val="004255FF"/>
    <w:rsid w:val="00425C19"/>
    <w:rsid w:val="00425F15"/>
    <w:rsid w:val="004260BE"/>
    <w:rsid w:val="004263B0"/>
    <w:rsid w:val="004265BA"/>
    <w:rsid w:val="004269F0"/>
    <w:rsid w:val="00426B00"/>
    <w:rsid w:val="00426C5F"/>
    <w:rsid w:val="004270FC"/>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4EA8"/>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73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3FF"/>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A56"/>
    <w:rsid w:val="00562BCA"/>
    <w:rsid w:val="00562CB5"/>
    <w:rsid w:val="00562CBA"/>
    <w:rsid w:val="00563203"/>
    <w:rsid w:val="00563632"/>
    <w:rsid w:val="00563CC8"/>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2DE"/>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2FAD"/>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21E"/>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5B2E"/>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395"/>
    <w:rsid w:val="0075672E"/>
    <w:rsid w:val="00756E25"/>
    <w:rsid w:val="00756ED7"/>
    <w:rsid w:val="00757657"/>
    <w:rsid w:val="00757C59"/>
    <w:rsid w:val="00757D56"/>
    <w:rsid w:val="00757FF1"/>
    <w:rsid w:val="0076031A"/>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07"/>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11"/>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B09"/>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0F"/>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6B6"/>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840"/>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48"/>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23D"/>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6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4D92"/>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AB3"/>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98A"/>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62E"/>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6BA"/>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081"/>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E6E"/>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42"/>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58F"/>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rsid w:val="000C5EB1"/>
    <w:rPr>
      <w:szCs w:val="20"/>
    </w:rPr>
  </w:style>
  <w:style w:type="character" w:customStyle="1" w:styleId="EndnoteTextChar">
    <w:name w:val="Endnote Text Char"/>
    <w:basedOn w:val="DefaultParagraphFont"/>
    <w:link w:val="EndnoteText"/>
    <w:rsid w:val="000C5EB1"/>
    <w:rPr>
      <w:rFonts w:ascii="Batang"/>
      <w:kern w:val="2"/>
      <w:lang w:eastAsia="ko-KR"/>
    </w:rPr>
  </w:style>
  <w:style w:type="character" w:styleId="EndnoteReference">
    <w:name w:val="endnote reference"/>
    <w:basedOn w:val="DefaultParagraphFont"/>
    <w:rsid w:val="000C5E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8206661">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4989354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6393261">
      <w:bodyDiv w:val="1"/>
      <w:marLeft w:val="0"/>
      <w:marRight w:val="0"/>
      <w:marTop w:val="0"/>
      <w:marBottom w:val="0"/>
      <w:divBdr>
        <w:top w:val="none" w:sz="0" w:space="0" w:color="auto"/>
        <w:left w:val="none" w:sz="0" w:space="0" w:color="auto"/>
        <w:bottom w:val="none" w:sz="0" w:space="0" w:color="auto"/>
        <w:right w:val="none" w:sz="0" w:space="0" w:color="auto"/>
      </w:divBdr>
    </w:div>
    <w:div w:id="741440901">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686166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400852">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4454328">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5138">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4956796">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611073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6434E7-065A-41E7-BEC3-FDF83E4C53B7}">
  <ds:schemaRefs>
    <ds:schemaRef ds:uri="office.server.policy"/>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0197074A-EE7A-40A0-843E-16E685583BB7}">
  <ds:schemaRefs>
    <ds:schemaRef ds:uri="http://schemas.openxmlformats.org/officeDocument/2006/bibliography"/>
  </ds:schemaRefs>
</ds:datastoreItem>
</file>

<file path=customXml/itemProps7.xml><?xml version="1.0" encoding="utf-8"?>
<ds:datastoreItem xmlns:ds="http://schemas.openxmlformats.org/officeDocument/2006/customXml" ds:itemID="{6D634804-3DAC-463C-8986-0CC58108F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5</Pages>
  <Words>1170</Words>
  <Characters>6673</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Rico Alvarino</cp:lastModifiedBy>
  <cp:revision>13</cp:revision>
  <cp:lastPrinted>2010-08-13T21:54:00Z</cp:lastPrinted>
  <dcterms:created xsi:type="dcterms:W3CDTF">2017-04-28T00:02:00Z</dcterms:created>
  <dcterms:modified xsi:type="dcterms:W3CDTF">2017-05-06T01:24:00Z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1500184171</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